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7743" w14:textId="2B28CBF9" w:rsidR="00637A54" w:rsidRDefault="00637A54" w:rsidP="00C744F1">
      <w:pPr>
        <w:pStyle w:val="Heading1"/>
        <w:rPr>
          <w:b/>
          <w:bCs/>
          <w:color w:val="000000" w:themeColor="text1"/>
        </w:rPr>
      </w:pPr>
      <w:r w:rsidRPr="00C744F1">
        <w:rPr>
          <w:b/>
          <w:bCs/>
          <w:color w:val="000000" w:themeColor="text1"/>
        </w:rPr>
        <w:t>Modelling the economic impact of changing gambling regulation</w:t>
      </w:r>
      <w:r w:rsidR="289E1CF0" w:rsidRPr="1CE769A4">
        <w:rPr>
          <w:b/>
          <w:bCs/>
          <w:color w:val="000000" w:themeColor="text1"/>
        </w:rPr>
        <w:t xml:space="preserve">: a </w:t>
      </w:r>
      <w:r w:rsidR="00324958">
        <w:rPr>
          <w:b/>
          <w:bCs/>
          <w:color w:val="000000" w:themeColor="text1"/>
        </w:rPr>
        <w:t xml:space="preserve">research </w:t>
      </w:r>
      <w:r w:rsidR="289E1CF0" w:rsidRPr="1CE769A4">
        <w:rPr>
          <w:b/>
          <w:bCs/>
          <w:color w:val="000000" w:themeColor="text1"/>
        </w:rPr>
        <w:t>protocol</w:t>
      </w:r>
    </w:p>
    <w:p w14:paraId="443FEB31" w14:textId="77777777" w:rsidR="002859FC" w:rsidRDefault="002859FC" w:rsidP="002859FC"/>
    <w:p w14:paraId="0B2803FF" w14:textId="7044F0F5" w:rsidR="002859FC" w:rsidRDefault="002859FC" w:rsidP="002859FC">
      <w:r>
        <w:t>12.06.2025</w:t>
      </w:r>
    </w:p>
    <w:p w14:paraId="7770DBA7" w14:textId="4E77B33D" w:rsidR="002859FC" w:rsidRPr="002859FC" w:rsidRDefault="002859FC" w:rsidP="002859FC">
      <w:r>
        <w:t>Version 1.0</w:t>
      </w:r>
    </w:p>
    <w:p w14:paraId="0FFE6533" w14:textId="77777777" w:rsidR="009C02CD" w:rsidRPr="004459FA" w:rsidRDefault="009C02CD" w:rsidP="004459FA"/>
    <w:p w14:paraId="0D98B901" w14:textId="77777777" w:rsidR="00C744F1" w:rsidRDefault="000E680A" w:rsidP="00C744F1">
      <w:pPr>
        <w:pStyle w:val="Heading2"/>
        <w:rPr>
          <w:b/>
          <w:bCs/>
          <w:color w:val="000000" w:themeColor="text1"/>
          <w:sz w:val="28"/>
          <w:szCs w:val="28"/>
        </w:rPr>
      </w:pPr>
      <w:r w:rsidRPr="00C744F1">
        <w:rPr>
          <w:b/>
          <w:bCs/>
          <w:color w:val="000000" w:themeColor="text1"/>
          <w:sz w:val="28"/>
          <w:szCs w:val="28"/>
        </w:rPr>
        <w:t>Introduction</w:t>
      </w:r>
    </w:p>
    <w:p w14:paraId="62A483E6" w14:textId="2F010D5C" w:rsidR="001F2ECE" w:rsidRPr="001F2ECE" w:rsidRDefault="001F2ECE" w:rsidP="001F2ECE">
      <w:r>
        <w:t xml:space="preserve">The recent Government White Paper “High Stakes: Gambling Reform for the Digital Age”, published in April 2023 (DCMS, 2023) </w:t>
      </w:r>
      <w:r>
        <w:t xml:space="preserve">set out a range of proposed reforms aimed at reducing the harms associated with gambling. The White Paper also considered the economic burden of these reforms and estimated </w:t>
      </w:r>
      <w:r>
        <w:t xml:space="preserve"> that the overall impact of its series of recommendations w</w:t>
      </w:r>
      <w:r>
        <w:t xml:space="preserve">ould </w:t>
      </w:r>
      <w:r>
        <w:t xml:space="preserve"> be a reduction in G</w:t>
      </w:r>
      <w:r>
        <w:t xml:space="preserve">ross </w:t>
      </w:r>
      <w:r>
        <w:t>G</w:t>
      </w:r>
      <w:r>
        <w:t xml:space="preserve">aming </w:t>
      </w:r>
      <w:r>
        <w:t>Y</w:t>
      </w:r>
      <w:r>
        <w:t>ield (GGY) (that is the total amount of money lost by consumers once winnings are paid)</w:t>
      </w:r>
      <w:r>
        <w:t xml:space="preserve"> of between 3% to 8% per year. This amounts to between £329 million and £812 million</w:t>
      </w:r>
      <w:r>
        <w:t xml:space="preserve"> being</w:t>
      </w:r>
      <w:r>
        <w:t xml:space="preserve"> retained by consumers instead of being spent on gambling. For online gambling, reductions in GGY of between 8% to 14% are anticipated (DCMS, 2023). </w:t>
      </w:r>
    </w:p>
    <w:p w14:paraId="2F5AAFC9" w14:textId="0BCD9BEA" w:rsidR="00C744F1" w:rsidRDefault="00C744F1" w:rsidP="74567C4E">
      <w:pPr>
        <w:spacing w:after="0"/>
      </w:pPr>
      <w:r w:rsidRPr="00A10C88">
        <w:t xml:space="preserve">The UK Government estimates that </w:t>
      </w:r>
      <w:r w:rsidR="0099705F">
        <w:t xml:space="preserve">in </w:t>
      </w:r>
      <w:r w:rsidR="0035009C">
        <w:t>the year prior to the Covid-19 pandemic</w:t>
      </w:r>
      <w:r w:rsidR="0099705F">
        <w:t>,</w:t>
      </w:r>
      <w:r w:rsidR="0035009C">
        <w:t xml:space="preserve"> </w:t>
      </w:r>
      <w:r w:rsidRPr="00A10C88">
        <w:t>the gambling industry contribute</w:t>
      </w:r>
      <w:r w:rsidR="0035009C">
        <w:t>d</w:t>
      </w:r>
      <w:r w:rsidRPr="00A10C88">
        <w:t xml:space="preserve"> around £2 billion per year in gaming duty (excluding lottery duty</w:t>
      </w:r>
      <w:r w:rsidR="00AF6852" w:rsidRPr="00A10C88">
        <w:t xml:space="preserve"> and on-course betting</w:t>
      </w:r>
      <w:r w:rsidRPr="00A10C88">
        <w:t>) and accounted for £</w:t>
      </w:r>
      <w:r w:rsidR="0035009C">
        <w:t>8</w:t>
      </w:r>
      <w:r w:rsidR="001C3C21">
        <w:t>.3</w:t>
      </w:r>
      <w:r w:rsidRPr="00A10C88">
        <w:t xml:space="preserve"> billion or 0.</w:t>
      </w:r>
      <w:r w:rsidR="001C3C21">
        <w:t>4</w:t>
      </w:r>
      <w:r w:rsidRPr="00A10C88">
        <w:t xml:space="preserve">% of Gross Value Added in 2019, whilst employing 98,000 people </w:t>
      </w:r>
      <w:r w:rsidR="00664B69">
        <w:t>(DCMS</w:t>
      </w:r>
      <w:r w:rsidR="00BD5FD2">
        <w:t>,</w:t>
      </w:r>
      <w:r w:rsidR="00664B69">
        <w:t xml:space="preserve"> 2022</w:t>
      </w:r>
      <w:r w:rsidRPr="00A10C88">
        <w:t xml:space="preserve">).  </w:t>
      </w:r>
      <w:r w:rsidR="4C08619F" w:rsidRPr="00A10C88">
        <w:rPr>
          <w:rFonts w:ascii="Calibri" w:eastAsia="Calibri" w:hAnsi="Calibri" w:cs="Calibri"/>
          <w:color w:val="000000" w:themeColor="text1"/>
        </w:rPr>
        <w:t xml:space="preserve">According to the </w:t>
      </w:r>
      <w:r w:rsidR="4C08619F" w:rsidRPr="1CE769A4">
        <w:rPr>
          <w:rFonts w:ascii="Calibri" w:eastAsia="Calibri" w:hAnsi="Calibri" w:cs="Calibri"/>
          <w:color w:val="000000" w:themeColor="text1"/>
        </w:rPr>
        <w:t>O</w:t>
      </w:r>
      <w:r w:rsidR="15C1D48F" w:rsidRPr="1CE769A4">
        <w:rPr>
          <w:rFonts w:ascii="Calibri" w:eastAsia="Calibri" w:hAnsi="Calibri" w:cs="Calibri"/>
          <w:color w:val="000000" w:themeColor="text1"/>
        </w:rPr>
        <w:t xml:space="preserve">ffice for </w:t>
      </w:r>
      <w:r w:rsidR="4C08619F" w:rsidRPr="1CE769A4">
        <w:rPr>
          <w:rFonts w:ascii="Calibri" w:eastAsia="Calibri" w:hAnsi="Calibri" w:cs="Calibri"/>
          <w:color w:val="000000" w:themeColor="text1"/>
        </w:rPr>
        <w:t>B</w:t>
      </w:r>
      <w:r w:rsidR="767BD4C7" w:rsidRPr="1CE769A4">
        <w:rPr>
          <w:rFonts w:ascii="Calibri" w:eastAsia="Calibri" w:hAnsi="Calibri" w:cs="Calibri"/>
          <w:color w:val="000000" w:themeColor="text1"/>
        </w:rPr>
        <w:t xml:space="preserve">udget </w:t>
      </w:r>
      <w:r w:rsidR="4C7591EC" w:rsidRPr="1CE769A4">
        <w:rPr>
          <w:rFonts w:ascii="Calibri" w:eastAsia="Calibri" w:hAnsi="Calibri" w:cs="Calibri"/>
          <w:color w:val="000000" w:themeColor="text1"/>
        </w:rPr>
        <w:t>Responsibility</w:t>
      </w:r>
      <w:r w:rsidR="005C3A65">
        <w:rPr>
          <w:rFonts w:ascii="Calibri" w:eastAsia="Calibri" w:hAnsi="Calibri" w:cs="Calibri"/>
          <w:color w:val="000000" w:themeColor="text1"/>
        </w:rPr>
        <w:t xml:space="preserve"> (OBR)</w:t>
      </w:r>
      <w:r w:rsidR="4C08619F" w:rsidRPr="00A10C88">
        <w:rPr>
          <w:rFonts w:ascii="Calibri" w:eastAsia="Calibri" w:hAnsi="Calibri" w:cs="Calibri"/>
          <w:color w:val="000000" w:themeColor="text1"/>
        </w:rPr>
        <w:t xml:space="preserve">, the </w:t>
      </w:r>
      <w:r w:rsidR="35D6EEBE" w:rsidRPr="00A10C88">
        <w:rPr>
          <w:rFonts w:ascii="Calibri" w:eastAsia="Calibri" w:hAnsi="Calibri" w:cs="Calibri"/>
          <w:color w:val="000000" w:themeColor="text1"/>
        </w:rPr>
        <w:t xml:space="preserve">fiscal </w:t>
      </w:r>
      <w:r w:rsidR="4C08619F" w:rsidRPr="00A10C88">
        <w:rPr>
          <w:rFonts w:ascii="Calibri" w:eastAsia="Calibri" w:hAnsi="Calibri" w:cs="Calibri"/>
          <w:color w:val="000000" w:themeColor="text1"/>
        </w:rPr>
        <w:t xml:space="preserve">revenue from betting and gaming duties was projected to reach £3.3 billion per year in the financial year 2022-23 (OBR, 2022). </w:t>
      </w:r>
      <w:r w:rsidR="00C017D3">
        <w:rPr>
          <w:rFonts w:ascii="Calibri" w:eastAsia="Calibri" w:hAnsi="Calibri" w:cs="Calibri"/>
          <w:color w:val="000000" w:themeColor="text1"/>
        </w:rPr>
        <w:t>Government</w:t>
      </w:r>
      <w:r w:rsidR="00C017D3" w:rsidRPr="00A10C88">
        <w:rPr>
          <w:rFonts w:ascii="Calibri" w:eastAsia="Calibri" w:hAnsi="Calibri" w:cs="Calibri"/>
          <w:color w:val="000000" w:themeColor="text1"/>
        </w:rPr>
        <w:t xml:space="preserve"> </w:t>
      </w:r>
      <w:r w:rsidR="4C08619F" w:rsidRPr="00A10C88">
        <w:rPr>
          <w:rFonts w:ascii="Calibri" w:eastAsia="Calibri" w:hAnsi="Calibri" w:cs="Calibri"/>
          <w:color w:val="000000" w:themeColor="text1"/>
        </w:rPr>
        <w:t xml:space="preserve">figures suggest that corporation tax receipts from the gambling industry amount to approximately £200 million per annum (HMRC, 2022). The total tax revenue accruing to HM Treasury of around £3.5 billion per year </w:t>
      </w:r>
      <w:r w:rsidR="186CB69C" w:rsidRPr="1CE769A4">
        <w:rPr>
          <w:rFonts w:ascii="Calibri" w:eastAsia="Calibri" w:hAnsi="Calibri" w:cs="Calibri"/>
          <w:color w:val="000000" w:themeColor="text1"/>
        </w:rPr>
        <w:t>represents</w:t>
      </w:r>
      <w:r w:rsidR="4C08619F" w:rsidRPr="00A10C88">
        <w:rPr>
          <w:rFonts w:ascii="Calibri" w:eastAsia="Calibri" w:hAnsi="Calibri" w:cs="Calibri"/>
          <w:color w:val="000000" w:themeColor="text1"/>
        </w:rPr>
        <w:t xml:space="preserve"> the direct fiscal benefit</w:t>
      </w:r>
      <w:r w:rsidR="001A298C">
        <w:rPr>
          <w:rFonts w:ascii="Calibri" w:eastAsia="Calibri" w:hAnsi="Calibri" w:cs="Calibri"/>
          <w:color w:val="000000" w:themeColor="text1"/>
        </w:rPr>
        <w:t xml:space="preserve"> (cf. NIESR, 2023)</w:t>
      </w:r>
      <w:r w:rsidR="4C08619F" w:rsidRPr="00A10C88">
        <w:rPr>
          <w:rFonts w:ascii="Calibri" w:eastAsia="Calibri" w:hAnsi="Calibri" w:cs="Calibri"/>
          <w:color w:val="000000" w:themeColor="text1"/>
        </w:rPr>
        <w:t>.</w:t>
      </w:r>
      <w:r w:rsidR="245D2453" w:rsidRPr="7EACC210">
        <w:rPr>
          <w:rFonts w:ascii="Calibri" w:eastAsia="Calibri" w:hAnsi="Calibri" w:cs="Calibri"/>
          <w:color w:val="000000" w:themeColor="text1"/>
        </w:rPr>
        <w:t xml:space="preserve"> </w:t>
      </w:r>
      <w:r>
        <w:t>Because of these contributions, the gambling industry has argued that the introduction of regulations</w:t>
      </w:r>
      <w:r w:rsidR="009949CD">
        <w:t>,</w:t>
      </w:r>
      <w:r>
        <w:t xml:space="preserve"> which aim to reduce gambling consumption</w:t>
      </w:r>
      <w:r w:rsidR="009949CD">
        <w:t>,</w:t>
      </w:r>
      <w:r>
        <w:t xml:space="preserve"> would have a detrimental impact on the British economy by reducing tax revenue and </w:t>
      </w:r>
      <w:r w:rsidR="009949CD">
        <w:t>adversely affecting</w:t>
      </w:r>
      <w:r>
        <w:t xml:space="preserve"> employment as well as other economic indicators</w:t>
      </w:r>
      <w:r w:rsidR="009949CD">
        <w:t xml:space="preserve"> such as</w:t>
      </w:r>
      <w:r w:rsidR="00BD5FD2">
        <w:t xml:space="preserve"> </w:t>
      </w:r>
      <w:r>
        <w:t>economic growth</w:t>
      </w:r>
      <w:r w:rsidR="00BD5FD2">
        <w:t xml:space="preserve"> (</w:t>
      </w:r>
      <w:r w:rsidR="00BD5FD2" w:rsidRPr="00A10C88">
        <w:t>BGC, 2022</w:t>
      </w:r>
      <w:r>
        <w:t xml:space="preserve">).   </w:t>
      </w:r>
    </w:p>
    <w:p w14:paraId="30C9EBA4" w14:textId="71B074EC" w:rsidR="64965874" w:rsidRDefault="64965874" w:rsidP="64965874">
      <w:pPr>
        <w:spacing w:after="0"/>
      </w:pPr>
    </w:p>
    <w:p w14:paraId="65FB7B0E" w14:textId="428B6D95" w:rsidR="001F2ECE" w:rsidRDefault="00C744F1" w:rsidP="00C744F1">
      <w:r>
        <w:t>In making these arguments, the economic figures quoted by the gambling industry focus on their gross contributions – that is</w:t>
      </w:r>
      <w:r w:rsidR="1ED7AF84">
        <w:t>,</w:t>
      </w:r>
      <w:r>
        <w:t xml:space="preserve"> their total contributions via duty and employment. They do not consider the “net” impact, that is</w:t>
      </w:r>
      <w:r w:rsidR="25FDDC68">
        <w:t>,</w:t>
      </w:r>
      <w:r>
        <w:t xml:space="preserve"> economic gains (or further losses) that may </w:t>
      </w:r>
      <w:r w:rsidR="60E35D69">
        <w:t xml:space="preserve">result </w:t>
      </w:r>
      <w:r>
        <w:t xml:space="preserve">if money not spent on gambling is diverted to other </w:t>
      </w:r>
      <w:r w:rsidR="00E90069">
        <w:t>areas</w:t>
      </w:r>
      <w:r>
        <w:t>. As seen in other areas (specifically alcohol)</w:t>
      </w:r>
      <w:r w:rsidR="74795F3E">
        <w:t>,</w:t>
      </w:r>
      <w:r>
        <w:t xml:space="preserve"> stricter regulation constraining consumption and expenditure does not necessarily mean this money is lost to the economy, since it may be spent elsewhere (cf. Sachdev et al</w:t>
      </w:r>
      <w:r w:rsidR="008C1789">
        <w:t>.</w:t>
      </w:r>
      <w:r>
        <w:t xml:space="preserve">, 2023). </w:t>
      </w:r>
      <w:r w:rsidR="001F2ECE">
        <w:t xml:space="preserve">As noted above, proposed changes to gambling regulation are expected to result in people spending less money on gambling. </w:t>
      </w:r>
      <w:r w:rsidR="00F21CB7">
        <w:t>U</w:t>
      </w:r>
      <w:r>
        <w:t xml:space="preserve">nderstanding where this spending may be diverted to (if at all) is a critical consideration </w:t>
      </w:r>
      <w:r w:rsidR="009949CD">
        <w:t xml:space="preserve">for policymakers </w:t>
      </w:r>
      <w:r>
        <w:t xml:space="preserve">as </w:t>
      </w:r>
      <w:r w:rsidR="6A5F26C6">
        <w:t xml:space="preserve">it </w:t>
      </w:r>
      <w:r>
        <w:t xml:space="preserve">provides a substantial account of the demand-side effects of changing gambling policies upon the economy. </w:t>
      </w:r>
      <w:r w:rsidR="001F2ECE">
        <w:t>For example, if money is diverted to other goods/service which have greater economic multipliers compared with the gambling industry, the net economic impact may be positive. For example, recent findings by the Social Market Foundation suggest that the multiplier effect from economic sectors such as retail is much greater than for the gambling industry (SMF, 2021).</w:t>
      </w:r>
    </w:p>
    <w:p w14:paraId="0890DBAE" w14:textId="5740CF1F" w:rsidR="00C744F1" w:rsidRPr="0004025F" w:rsidRDefault="00C744F1" w:rsidP="00C744F1">
      <w:r>
        <w:lastRenderedPageBreak/>
        <w:t>Policies aimed at reducing gambling harms often focus on reducing or limiting consumers</w:t>
      </w:r>
      <w:r w:rsidR="3C9FC295">
        <w:t>’</w:t>
      </w:r>
      <w:r>
        <w:t xml:space="preserve"> ability to spend money on gambling products. The reduction of maximum stakes on B2 gaming machines (formerly known as fixed odds betting terminals </w:t>
      </w:r>
      <w:r w:rsidR="6E670890">
        <w:t>[</w:t>
      </w:r>
      <w:r>
        <w:t>FOBTs</w:t>
      </w:r>
      <w:r w:rsidR="1F85A608">
        <w:t>]</w:t>
      </w:r>
      <w:r>
        <w:t xml:space="preserve">) from £100 to £2 is an example of such a policy. This policy saw a 42% reduction in Gross Gaming Yield (GGY) on machines in licensed betting offices between 2018/19 and 2021/22, </w:t>
      </w:r>
      <w:r w:rsidR="009949CD">
        <w:t xml:space="preserve">although </w:t>
      </w:r>
      <w:r>
        <w:t xml:space="preserve">some of this reduction </w:t>
      </w:r>
      <w:r w:rsidR="00F02C0E">
        <w:t xml:space="preserve">could </w:t>
      </w:r>
      <w:r>
        <w:t xml:space="preserve">also be </w:t>
      </w:r>
      <w:r w:rsidR="00F02C0E">
        <w:t xml:space="preserve">attributed </w:t>
      </w:r>
      <w:r>
        <w:t>to the impact of C</w:t>
      </w:r>
      <w:r w:rsidR="009949CD">
        <w:t>ovid</w:t>
      </w:r>
      <w:r>
        <w:t xml:space="preserve">-19 closures (DCMS, 2023).       </w:t>
      </w:r>
    </w:p>
    <w:p w14:paraId="384865CC" w14:textId="304B1EA8" w:rsidR="00C744F1" w:rsidRDefault="62B78DA1" w:rsidP="00C744F1">
      <w:r>
        <w:t xml:space="preserve">However, if money is diverted to other economic sectors with lower economic multipliers than the gambling industry or is </w:t>
      </w:r>
      <w:r w:rsidR="002939B6">
        <w:t>saved, the net impact may be negative</w:t>
      </w:r>
      <w:r w:rsidR="00FE599E">
        <w:t>, or not captured in traditional economic metrics if d</w:t>
      </w:r>
      <w:r>
        <w:t xml:space="preserve">iverted to </w:t>
      </w:r>
      <w:r w:rsidR="41F4F866">
        <w:t>unlicensed</w:t>
      </w:r>
      <w:r>
        <w:t xml:space="preserve"> market</w:t>
      </w:r>
      <w:r w:rsidR="00FE599E">
        <w:t>s</w:t>
      </w:r>
      <w:r w:rsidR="00904681">
        <w:t xml:space="preserve">. </w:t>
      </w:r>
      <w:r>
        <w:t xml:space="preserve">Furthermore, assessing this through a public health economics lens, we are interested in measuring and valuing where spending will likely be diverted to and the extent to which this will be spent on activities/ goods and services </w:t>
      </w:r>
      <w:r w:rsidR="009949CD">
        <w:t xml:space="preserve">that </w:t>
      </w:r>
      <w:r>
        <w:t xml:space="preserve">are deemed ‘gambling substitutes’ </w:t>
      </w:r>
      <w:r w:rsidR="00904681">
        <w:t xml:space="preserve"> or other </w:t>
      </w:r>
      <w:r w:rsidR="00827A82">
        <w:t>addictive</w:t>
      </w:r>
      <w:r w:rsidR="00904681">
        <w:t xml:space="preserve"> goods such as alcohol versus </w:t>
      </w:r>
      <w:r>
        <w:t>health and productivity improving activities and goods.</w:t>
      </w:r>
    </w:p>
    <w:p w14:paraId="4C7616CE" w14:textId="675A19F5" w:rsidR="00C744F1" w:rsidRDefault="00C744F1" w:rsidP="00C744F1">
      <w:r>
        <w:t xml:space="preserve">There is a nascent evidence base </w:t>
      </w:r>
      <w:r w:rsidRPr="00DA2604">
        <w:t>examin</w:t>
      </w:r>
      <w:r>
        <w:t>ing</w:t>
      </w:r>
      <w:r w:rsidRPr="00DA2604">
        <w:t xml:space="preserve"> these issues within </w:t>
      </w:r>
      <w:r w:rsidR="00F21CB7">
        <w:t>a British</w:t>
      </w:r>
      <w:r w:rsidRPr="00DA2604">
        <w:t xml:space="preserve"> context (See Box </w:t>
      </w:r>
      <w:r>
        <w:t>A</w:t>
      </w:r>
      <w:r w:rsidRPr="00DA2604">
        <w:t xml:space="preserve">). </w:t>
      </w:r>
      <w:r>
        <w:t xml:space="preserve">Prior studies have attempted some assessment of demand-side effects employing </w:t>
      </w:r>
      <w:r w:rsidRPr="00DA2604">
        <w:t>a range of assumptions about how consumers will change behaviours if gambling expenditure is constrained</w:t>
      </w:r>
      <w:r>
        <w:t xml:space="preserve"> (NERA, 2021; SMF, 2021)</w:t>
      </w:r>
      <w:r w:rsidRPr="00DA2604">
        <w:t xml:space="preserve">. </w:t>
      </w:r>
      <w:r w:rsidR="002A2849">
        <w:t>However, t</w:t>
      </w:r>
      <w:r>
        <w:t>hese assumptions have not been based on empirical evidence generated from people who gamble, with little insight into how gambling expenditure is contextualised into everyday patterns of consumption or how expenditures may change in reaction to a “regulatory” shock. Thus, t</w:t>
      </w:r>
      <w:r w:rsidRPr="00DA2604">
        <w:t>he aim of our project is</w:t>
      </w:r>
      <w:r>
        <w:t xml:space="preserve"> to produce an empirically informed model of the demand-side effects of changing gambling regulations using the </w:t>
      </w:r>
      <w:r w:rsidRPr="00DA2604">
        <w:t xml:space="preserve">stated preferences of </w:t>
      </w:r>
      <w:r w:rsidR="217617C3">
        <w:t>people who gamble</w:t>
      </w:r>
      <w:r w:rsidRPr="00DA2604">
        <w:t xml:space="preserve"> from a discrete choice experiment</w:t>
      </w:r>
      <w:r>
        <w:t xml:space="preserve"> </w:t>
      </w:r>
      <w:r w:rsidRPr="00DA2604">
        <w:t>to</w:t>
      </w:r>
      <w:r>
        <w:t xml:space="preserve"> </w:t>
      </w:r>
      <w:r w:rsidRPr="00DA2604">
        <w:t xml:space="preserve">discern </w:t>
      </w:r>
      <w:r>
        <w:t xml:space="preserve">how </w:t>
      </w:r>
      <w:r w:rsidRPr="00DA2604">
        <w:t xml:space="preserve">patterns of expenditure on </w:t>
      </w:r>
      <w:r>
        <w:t xml:space="preserve">gambling (both legal and illegal) and </w:t>
      </w:r>
      <w:r w:rsidRPr="00DA2604">
        <w:t xml:space="preserve">the purchase of other goods and services </w:t>
      </w:r>
      <w:r>
        <w:t>may, or may not, be</w:t>
      </w:r>
      <w:r w:rsidRPr="00DA2604">
        <w:t xml:space="preserve"> affected when legal gambling expenditure is constrained. </w:t>
      </w:r>
      <w:r w:rsidR="00AA27B7">
        <w:t xml:space="preserve">We will show how different assumptions and estimates of how individuals </w:t>
      </w:r>
      <w:r w:rsidR="00C02766">
        <w:t xml:space="preserve">(and households) </w:t>
      </w:r>
      <w:r w:rsidR="00AA27B7">
        <w:t xml:space="preserve">might respond to a change in policy could impact upon the overall UK economy. </w:t>
      </w:r>
      <w:r>
        <w:t>Developing this</w:t>
      </w:r>
      <w:r w:rsidDel="000B516B">
        <w:t xml:space="preserve"> </w:t>
      </w:r>
      <w:r>
        <w:t xml:space="preserve">evidence base will </w:t>
      </w:r>
      <w:r w:rsidR="003510C1">
        <w:t xml:space="preserve">help </w:t>
      </w:r>
      <w:r>
        <w:t>to provide a more empirically grounded assessment of the</w:t>
      </w:r>
      <w:r w:rsidRPr="00DA2604">
        <w:t xml:space="preserve"> net</w:t>
      </w:r>
      <w:r>
        <w:t xml:space="preserve"> economic </w:t>
      </w:r>
      <w:r w:rsidRPr="00DA2604">
        <w:t>impact of changing gambling regulation.</w:t>
      </w:r>
      <w:r>
        <w:t xml:space="preserve"> </w:t>
      </w:r>
    </w:p>
    <w:p w14:paraId="39390A0A" w14:textId="76983685" w:rsidR="00F4290F" w:rsidRDefault="62B78DA1" w:rsidP="00C744F1">
      <w:r>
        <w:t>Whil</w:t>
      </w:r>
      <w:r w:rsidR="0C25A0D9">
        <w:t>e</w:t>
      </w:r>
      <w:r>
        <w:t xml:space="preserve"> our focus is on assessing the</w:t>
      </w:r>
      <w:r w:rsidR="7B6B67CF">
        <w:t xml:space="preserve"> demand-side effects following a reduction in gambling expenditure</w:t>
      </w:r>
      <w:r>
        <w:t>, we recognise that changing gambling regulation may have supply-side effect</w:t>
      </w:r>
      <w:r w:rsidR="7B6B67CF">
        <w:t>s</w:t>
      </w:r>
      <w:r>
        <w:t xml:space="preserve"> </w:t>
      </w:r>
      <w:r w:rsidR="300C9D5D">
        <w:t>too</w:t>
      </w:r>
      <w:r>
        <w:t xml:space="preserve">. This includes effects on the labour force, potential worker productivity gains (or losses), health and wellbeing improvements and so on. These effects are broadly anticipated to be </w:t>
      </w:r>
      <w:r w:rsidR="20206EA2">
        <w:t xml:space="preserve">positive. </w:t>
      </w:r>
      <w:r w:rsidR="00F21CB7">
        <w:t>A</w:t>
      </w:r>
      <w:r w:rsidR="0C25A0D9">
        <w:t>lthough</w:t>
      </w:r>
      <w:r>
        <w:t xml:space="preserve"> there is a body of work outlining the social and economic cost of gambling harms (IPPR 201</w:t>
      </w:r>
      <w:r w:rsidR="0C25A0D9">
        <w:t>6</w:t>
      </w:r>
      <w:r>
        <w:t>; PHE</w:t>
      </w:r>
      <w:r w:rsidR="41F4F866">
        <w:t>/OHID</w:t>
      </w:r>
      <w:r>
        <w:t xml:space="preserve"> 202</w:t>
      </w:r>
      <w:r w:rsidR="41F4F866">
        <w:t>3</w:t>
      </w:r>
      <w:r>
        <w:t xml:space="preserve">; NIESR 2023), which includes decrements to health and wellbeing, poorer employment and lower productivity, </w:t>
      </w:r>
      <w:r w:rsidR="7B6B67CF">
        <w:t>evidence on this remains scarce</w:t>
      </w:r>
      <w:r>
        <w:t xml:space="preserve"> (Latvala et al</w:t>
      </w:r>
      <w:r w:rsidR="0C25A0D9">
        <w:t>.</w:t>
      </w:r>
      <w:r>
        <w:t>, 2019</w:t>
      </w:r>
      <w:r w:rsidR="03A0842B">
        <w:t>; Lee and Ofori Dei, 2022</w:t>
      </w:r>
      <w:r>
        <w:t xml:space="preserve">). </w:t>
      </w:r>
    </w:p>
    <w:p w14:paraId="6955B28D" w14:textId="5DDF9AC0" w:rsidR="00C744F1" w:rsidRDefault="7E232FF3" w:rsidP="00C744F1">
      <w:r>
        <w:t xml:space="preserve">This might be partially explained by the fact that estimation of supply-side effects is complex since </w:t>
      </w:r>
      <w:r w:rsidR="62B78DA1">
        <w:t>one would need to estimate the anticipated reduction in harms</w:t>
      </w:r>
      <w:r w:rsidR="008E747D">
        <w:t xml:space="preserve"> – and their time profile – </w:t>
      </w:r>
      <w:r w:rsidR="62B78DA1">
        <w:t>generated</w:t>
      </w:r>
      <w:r w:rsidR="008E747D">
        <w:t xml:space="preserve"> </w:t>
      </w:r>
      <w:r w:rsidR="62B78DA1">
        <w:t xml:space="preserve">by a proposed policy in order to estimate </w:t>
      </w:r>
      <w:r>
        <w:t xml:space="preserve">changes in </w:t>
      </w:r>
      <w:r w:rsidR="0C25A0D9">
        <w:t xml:space="preserve">the </w:t>
      </w:r>
      <w:r w:rsidR="62B78DA1">
        <w:t>supply</w:t>
      </w:r>
      <w:r w:rsidR="41D05FD4">
        <w:t xml:space="preserve"> </w:t>
      </w:r>
      <w:r w:rsidR="62B78DA1">
        <w:t>side. Gambling policy</w:t>
      </w:r>
      <w:r w:rsidR="6DB8E12B">
        <w:t xml:space="preserve"> </w:t>
      </w:r>
      <w:r w:rsidR="62B78DA1">
        <w:t>change</w:t>
      </w:r>
      <w:r w:rsidR="0C25A0D9">
        <w:t>s</w:t>
      </w:r>
      <w:r w:rsidR="62B78DA1">
        <w:t xml:space="preserve"> by the UK government tend not to articulate specific outcome metrics in these terms</w:t>
      </w:r>
      <w:r w:rsidR="0C25A0D9">
        <w:t>.</w:t>
      </w:r>
      <w:r w:rsidR="62B78DA1">
        <w:t xml:space="preserve"> </w:t>
      </w:r>
      <w:r w:rsidR="0C25A0D9">
        <w:t>I</w:t>
      </w:r>
      <w:r w:rsidR="62B78DA1">
        <w:t>nstead</w:t>
      </w:r>
      <w:r w:rsidR="0C25A0D9">
        <w:t>, they</w:t>
      </w:r>
      <w:r w:rsidR="62B78DA1">
        <w:t xml:space="preserve"> focus on likely change to GGY (DCMS, 2023). Even recent changes in policy (such as the stake limits imposed on B2 gambling machines) have not been evaluated </w:t>
      </w:r>
      <w:r w:rsidR="0C25A0D9">
        <w:t xml:space="preserve">in relation </w:t>
      </w:r>
      <w:r w:rsidR="62B78DA1">
        <w:t>to assess</w:t>
      </w:r>
      <w:r w:rsidR="0C25A0D9">
        <w:t>ing</w:t>
      </w:r>
      <w:r w:rsidR="62B78DA1">
        <w:t xml:space="preserve"> their impact on gambling harms. Furthermore, a clear, empirically grounded understanding of the full range of social and economic costs associated with gambling harms is not well developed</w:t>
      </w:r>
      <w:r w:rsidR="0C25A0D9">
        <w:t>,</w:t>
      </w:r>
      <w:r w:rsidR="62B78DA1">
        <w:t xml:space="preserve"> and there are major gaps in </w:t>
      </w:r>
      <w:r w:rsidR="0C25A0D9">
        <w:t xml:space="preserve">knowledge </w:t>
      </w:r>
      <w:r w:rsidR="62B78DA1">
        <w:t>in several critical areas</w:t>
      </w:r>
      <w:r w:rsidR="4E83967B">
        <w:t xml:space="preserve">, even if </w:t>
      </w:r>
      <w:r w:rsidR="2C053B0D">
        <w:t xml:space="preserve">fiscal costs related to </w:t>
      </w:r>
      <w:r w:rsidR="0C25A0D9">
        <w:t>people who experience problem gambling</w:t>
      </w:r>
      <w:r w:rsidR="2C053B0D">
        <w:t xml:space="preserve"> are </w:t>
      </w:r>
      <w:r w:rsidR="161C102E">
        <w:t xml:space="preserve">somewhat better </w:t>
      </w:r>
      <w:r w:rsidR="2FE807D2">
        <w:t>documented</w:t>
      </w:r>
      <w:r w:rsidR="1D7FB62C">
        <w:t xml:space="preserve"> (NIESR, 2023</w:t>
      </w:r>
      <w:r w:rsidR="0AE0B4D3">
        <w:t>)</w:t>
      </w:r>
      <w:r w:rsidR="62B78DA1">
        <w:t>.</w:t>
      </w:r>
      <w:r w:rsidR="20206EA2">
        <w:t xml:space="preserve"> </w:t>
      </w:r>
      <w:r w:rsidR="0F9A3B69">
        <w:t xml:space="preserve">This provides a fruitful area for further research. </w:t>
      </w:r>
      <w:r w:rsidR="20206EA2">
        <w:t xml:space="preserve"> </w:t>
      </w:r>
      <w:r>
        <w:t xml:space="preserve"> </w:t>
      </w:r>
    </w:p>
    <w:p w14:paraId="61826DC4" w14:textId="3882550F" w:rsidR="00AA27B7" w:rsidRDefault="0F9A3B69" w:rsidP="00C744F1">
      <w:r>
        <w:lastRenderedPageBreak/>
        <w:t>T</w:t>
      </w:r>
      <w:r w:rsidR="62B78DA1">
        <w:t xml:space="preserve">his </w:t>
      </w:r>
      <w:r w:rsidR="001669B2">
        <w:t xml:space="preserve">research </w:t>
      </w:r>
      <w:r w:rsidR="62B78DA1">
        <w:t xml:space="preserve">project focuses on one element of the potential macroeconomic impact of changing gambling regulations – the impact derived from changes in consumer spending. </w:t>
      </w:r>
      <w:r w:rsidR="5B688EB8">
        <w:t>In other words</w:t>
      </w:r>
      <w:r w:rsidR="3A7BC3DD">
        <w:t>,</w:t>
      </w:r>
      <w:r w:rsidR="62B78DA1">
        <w:t xml:space="preserve"> </w:t>
      </w:r>
      <w:r w:rsidR="5B688EB8">
        <w:t xml:space="preserve">our main focus </w:t>
      </w:r>
      <w:r w:rsidR="6519DF85">
        <w:t>lies upon</w:t>
      </w:r>
      <w:r w:rsidR="62B78DA1">
        <w:t xml:space="preserve"> assess</w:t>
      </w:r>
      <w:r w:rsidR="2F6D4194">
        <w:t>ing</w:t>
      </w:r>
      <w:r w:rsidR="62B78DA1">
        <w:t xml:space="preserve"> the</w:t>
      </w:r>
      <w:r w:rsidR="7E247BF2">
        <w:t xml:space="preserve"> demand side</w:t>
      </w:r>
      <w:r w:rsidR="009949CD">
        <w:t xml:space="preserve"> </w:t>
      </w:r>
      <w:r w:rsidR="62B78DA1">
        <w:t>macroeconomic impact</w:t>
      </w:r>
      <w:r w:rsidR="7E247BF2">
        <w:t>s</w:t>
      </w:r>
      <w:r w:rsidR="62B78DA1">
        <w:t xml:space="preserve"> of</w:t>
      </w:r>
      <w:r w:rsidR="00F21CB7">
        <w:t xml:space="preserve"> reduced </w:t>
      </w:r>
      <w:r w:rsidR="62B78DA1">
        <w:t xml:space="preserve">gambling </w:t>
      </w:r>
      <w:r w:rsidR="00F21CB7">
        <w:t xml:space="preserve">consumption </w:t>
      </w:r>
      <w:r w:rsidR="7E247BF2">
        <w:t xml:space="preserve">through </w:t>
      </w:r>
      <w:r w:rsidR="00F21CB7">
        <w:t xml:space="preserve">potential changes in </w:t>
      </w:r>
      <w:r w:rsidR="705DB322">
        <w:t xml:space="preserve">consumption on </w:t>
      </w:r>
      <w:r w:rsidR="27144670">
        <w:t xml:space="preserve">other goods and services. </w:t>
      </w:r>
      <w:r w:rsidR="20206EA2">
        <w:t xml:space="preserve">To do </w:t>
      </w:r>
      <w:r w:rsidR="009949CD">
        <w:t>so</w:t>
      </w:r>
      <w:r w:rsidR="20206EA2">
        <w:t xml:space="preserve">, we will adopt a </w:t>
      </w:r>
      <w:r w:rsidR="002710F6">
        <w:t xml:space="preserve">novel </w:t>
      </w:r>
      <w:r w:rsidR="20206EA2">
        <w:t xml:space="preserve">micro to macro approach. </w:t>
      </w:r>
      <w:r>
        <w:t xml:space="preserve">This approach </w:t>
      </w:r>
      <w:r w:rsidR="009949CD">
        <w:t>consists in</w:t>
      </w:r>
      <w:r>
        <w:t xml:space="preserve"> obtaining detailed results from </w:t>
      </w:r>
      <w:r w:rsidR="4727AA06">
        <w:t xml:space="preserve">an </w:t>
      </w:r>
      <w:r>
        <w:t>analysis of consumer behaviour</w:t>
      </w:r>
      <w:r w:rsidR="4727AA06">
        <w:t xml:space="preserve">al responses </w:t>
      </w:r>
      <w:r>
        <w:t>to changes in gambling policies (micro) and using this information to assess the economy-wide effects of such behaviour</w:t>
      </w:r>
      <w:r w:rsidR="4727AA06">
        <w:t xml:space="preserve">al change </w:t>
      </w:r>
      <w:r>
        <w:t>being replicated at a national scale (macro).</w:t>
      </w:r>
      <w:r w:rsidR="00F21CB7">
        <w:t xml:space="preserve"> </w:t>
      </w:r>
    </w:p>
    <w:p w14:paraId="52C2B9D3" w14:textId="0837B374" w:rsidR="00C744F1" w:rsidRPr="00763A64" w:rsidRDefault="00C744F1" w:rsidP="1CE769A4">
      <w:pPr>
        <w:rPr>
          <w:b/>
          <w:bCs/>
        </w:rPr>
      </w:pPr>
      <w:r w:rsidRPr="00763A64">
        <w:rPr>
          <w:b/>
          <w:bCs/>
        </w:rPr>
        <w:t xml:space="preserve">Box </w:t>
      </w:r>
      <w:r>
        <w:rPr>
          <w:b/>
          <w:bCs/>
        </w:rPr>
        <w:t>A</w:t>
      </w:r>
      <w:r w:rsidRPr="00763A64">
        <w:rPr>
          <w:b/>
          <w:bCs/>
        </w:rPr>
        <w:t>: Overview of</w:t>
      </w:r>
      <w:r w:rsidR="006207A3">
        <w:rPr>
          <w:b/>
          <w:bCs/>
        </w:rPr>
        <w:t xml:space="preserve"> the evidence base on the macroeconomic impact of gambling expenditure reduction </w:t>
      </w:r>
    </w:p>
    <w:p w14:paraId="135FC7A5" w14:textId="37DB55CD" w:rsidR="00C744F1" w:rsidRDefault="62B78DA1" w:rsidP="50F8DD03">
      <w:pPr>
        <w:pBdr>
          <w:top w:val="single" w:sz="4" w:space="1" w:color="auto"/>
          <w:left w:val="single" w:sz="4" w:space="4" w:color="auto"/>
          <w:bottom w:val="single" w:sz="4" w:space="1" w:color="auto"/>
          <w:right w:val="single" w:sz="4" w:space="4" w:color="auto"/>
        </w:pBdr>
      </w:pPr>
      <w:r w:rsidRPr="50F8DD03">
        <w:rPr>
          <w:b/>
          <w:bCs/>
        </w:rPr>
        <w:t>NERA Economic Consulting</w:t>
      </w:r>
      <w:r>
        <w:t xml:space="preserve"> </w:t>
      </w:r>
      <w:r w:rsidR="177BB09D">
        <w:t xml:space="preserve">assessed </w:t>
      </w:r>
      <w:r>
        <w:t>the likely macro-economic impact of implementing recommendations contained in the House of Lord’s Select Committee on the Social and Economic Impact of the Gambling Industry</w:t>
      </w:r>
      <w:r w:rsidR="71567232">
        <w:t xml:space="preserve"> (HoL, 2020)</w:t>
      </w:r>
      <w:r>
        <w:t>. Th</w:t>
      </w:r>
      <w:r w:rsidR="177BB09D">
        <w:t>eir</w:t>
      </w:r>
      <w:r>
        <w:t xml:space="preserve"> model included assumptions about the displacement of expenditure from gambling to other sectors</w:t>
      </w:r>
      <w:r w:rsidR="164390D1">
        <w:t>,</w:t>
      </w:r>
      <w:r>
        <w:t xml:space="preserve"> which suggested that revenue lost from GGY would divert to the following four industries</w:t>
      </w:r>
      <w:r w:rsidR="2825C37A">
        <w:t xml:space="preserve"> (NERA, 2021)</w:t>
      </w:r>
      <w:r>
        <w:t xml:space="preserve">:  </w:t>
      </w:r>
    </w:p>
    <w:p w14:paraId="5C7ABF4F" w14:textId="77777777" w:rsidR="00C744F1" w:rsidRDefault="00C744F1" w:rsidP="00C744F1">
      <w:pPr>
        <w:pBdr>
          <w:top w:val="single" w:sz="4" w:space="1" w:color="auto"/>
          <w:left w:val="single" w:sz="4" w:space="4" w:color="auto"/>
          <w:bottom w:val="single" w:sz="4" w:space="1" w:color="auto"/>
          <w:right w:val="single" w:sz="4" w:space="4" w:color="auto"/>
        </w:pBdr>
        <w:spacing w:after="0"/>
      </w:pPr>
      <w:r>
        <w:t xml:space="preserve">▪ Retail Trade, Except of Motor Vehicles and Motorcycles (“Retail”) </w:t>
      </w:r>
    </w:p>
    <w:p w14:paraId="6C0A26A5" w14:textId="77777777" w:rsidR="00C744F1" w:rsidRDefault="00C744F1" w:rsidP="00C744F1">
      <w:pPr>
        <w:pBdr>
          <w:top w:val="single" w:sz="4" w:space="1" w:color="auto"/>
          <w:left w:val="single" w:sz="4" w:space="4" w:color="auto"/>
          <w:bottom w:val="single" w:sz="4" w:space="1" w:color="auto"/>
          <w:right w:val="single" w:sz="4" w:space="4" w:color="auto"/>
        </w:pBdr>
        <w:spacing w:after="0"/>
      </w:pPr>
      <w:r>
        <w:t xml:space="preserve">▪ Food and Beverage Service Activities (“Food/Beverage”) </w:t>
      </w:r>
    </w:p>
    <w:p w14:paraId="5C7965D3" w14:textId="77777777" w:rsidR="00C744F1" w:rsidRDefault="00C744F1" w:rsidP="00C744F1">
      <w:pPr>
        <w:pBdr>
          <w:top w:val="single" w:sz="4" w:space="1" w:color="auto"/>
          <w:left w:val="single" w:sz="4" w:space="4" w:color="auto"/>
          <w:bottom w:val="single" w:sz="4" w:space="1" w:color="auto"/>
          <w:right w:val="single" w:sz="4" w:space="4" w:color="auto"/>
        </w:pBdr>
        <w:spacing w:after="0"/>
      </w:pPr>
      <w:r>
        <w:t xml:space="preserve">▪ Creative, Arts and Entertainment Activities (“Creative/Arts”) </w:t>
      </w:r>
    </w:p>
    <w:p w14:paraId="3844406C" w14:textId="77777777" w:rsidR="00C744F1" w:rsidRDefault="00C744F1" w:rsidP="00C744F1">
      <w:pPr>
        <w:pBdr>
          <w:top w:val="single" w:sz="4" w:space="1" w:color="auto"/>
          <w:left w:val="single" w:sz="4" w:space="4" w:color="auto"/>
          <w:bottom w:val="single" w:sz="4" w:space="1" w:color="auto"/>
          <w:right w:val="single" w:sz="4" w:space="4" w:color="auto"/>
        </w:pBdr>
        <w:spacing w:after="0"/>
      </w:pPr>
      <w:r>
        <w:t>▪ Sports Activities and Amusement and Recreation Activities (“Sports/Amusement”)</w:t>
      </w:r>
    </w:p>
    <w:p w14:paraId="2D6830DF" w14:textId="77777777" w:rsidR="00C744F1" w:rsidRDefault="00C744F1" w:rsidP="00C744F1">
      <w:pPr>
        <w:pBdr>
          <w:top w:val="single" w:sz="4" w:space="1" w:color="auto"/>
          <w:left w:val="single" w:sz="4" w:space="4" w:color="auto"/>
          <w:bottom w:val="single" w:sz="4" w:space="1" w:color="auto"/>
          <w:right w:val="single" w:sz="4" w:space="4" w:color="auto"/>
        </w:pBdr>
        <w:spacing w:after="0"/>
      </w:pPr>
    </w:p>
    <w:p w14:paraId="1127B95A" w14:textId="3CA85353" w:rsidR="00C744F1" w:rsidRDefault="0D26C32C" w:rsidP="5B4BE494">
      <w:pPr>
        <w:pBdr>
          <w:top w:val="single" w:sz="4" w:space="1" w:color="auto"/>
          <w:left w:val="single" w:sz="4" w:space="4" w:color="auto"/>
          <w:bottom w:val="single" w:sz="4" w:space="1" w:color="auto"/>
          <w:right w:val="single" w:sz="4" w:space="4" w:color="auto"/>
        </w:pBdr>
      </w:pPr>
      <w:r>
        <w:t xml:space="preserve">This report was predicated on the assumption that 100% of the reduction in GGY would </w:t>
      </w:r>
      <w:r w:rsidR="6B43F37D">
        <w:t xml:space="preserve">switch </w:t>
      </w:r>
      <w:r>
        <w:t>to these four industries and that the diversion would be proportionate to each sector’s gross output. This does not account for “downward biases”</w:t>
      </w:r>
      <w:r w:rsidR="64AA63D6">
        <w:t>,</w:t>
      </w:r>
      <w:r>
        <w:t xml:space="preserve"> i.e. people saving rather than spending the excess money; people paying down debts; people diverting expenditure to the </w:t>
      </w:r>
      <w:r w:rsidR="6B43F37D">
        <w:t>unlicensed</w:t>
      </w:r>
      <w:r>
        <w:t xml:space="preserve"> market for gambling or substituting to different forms of gambling. </w:t>
      </w:r>
      <w:r w:rsidR="478347E6">
        <w:t xml:space="preserve">A subsequent report by NERA on the economic assessment of the online gambling industry used </w:t>
      </w:r>
      <w:r w:rsidR="58D912DA">
        <w:t xml:space="preserve">a similar approach, assuming that all gambling spend was disposable and that reductions in spend would be switched to discretionary </w:t>
      </w:r>
      <w:r w:rsidR="2B3B5D6B">
        <w:t>alternatives, with distribution across the four discretionary alternatives (retail, food, arts and amusements) determined by national data</w:t>
      </w:r>
      <w:r w:rsidR="17FFE856">
        <w:t xml:space="preserve"> and averages</w:t>
      </w:r>
      <w:r w:rsidR="2B3B5D6B">
        <w:t xml:space="preserve"> (NERA, 2024).</w:t>
      </w:r>
    </w:p>
    <w:p w14:paraId="3BFE591C" w14:textId="10277E97" w:rsidR="00C744F1" w:rsidRPr="008322F8" w:rsidRDefault="62B78DA1" w:rsidP="50F8DD03">
      <w:pPr>
        <w:pBdr>
          <w:top w:val="single" w:sz="4" w:space="1" w:color="auto"/>
          <w:left w:val="single" w:sz="4" w:space="4" w:color="auto"/>
          <w:bottom w:val="single" w:sz="4" w:space="1" w:color="auto"/>
          <w:right w:val="single" w:sz="4" w:space="4" w:color="auto"/>
        </w:pBdr>
        <w:rPr>
          <w:b/>
          <w:bCs/>
        </w:rPr>
      </w:pPr>
      <w:r>
        <w:t xml:space="preserve">The </w:t>
      </w:r>
      <w:r w:rsidRPr="50F8DD03">
        <w:rPr>
          <w:b/>
          <w:bCs/>
        </w:rPr>
        <w:t>Social Market Foundation</w:t>
      </w:r>
      <w:r>
        <w:t xml:space="preserve"> </w:t>
      </w:r>
      <w:r w:rsidR="10F6A49C">
        <w:t xml:space="preserve">(2021) </w:t>
      </w:r>
      <w:r>
        <w:t xml:space="preserve">considered the direct and indirect economic </w:t>
      </w:r>
      <w:r w:rsidR="7AEBF94A">
        <w:t>impact</w:t>
      </w:r>
      <w:r w:rsidR="579422B6">
        <w:t xml:space="preserve"> </w:t>
      </w:r>
      <w:r>
        <w:t>of</w:t>
      </w:r>
      <w:r w:rsidR="579422B6">
        <w:t xml:space="preserve"> the</w:t>
      </w:r>
      <w:r>
        <w:t xml:space="preserve"> gambling industry. Indirect economic </w:t>
      </w:r>
      <w:r w:rsidR="7AEBF94A">
        <w:t xml:space="preserve">effects </w:t>
      </w:r>
      <w:r>
        <w:t xml:space="preserve">refer to additional GVA, jobs, and tax revenue that would be generated from the supply chains of the gambling industry. Other </w:t>
      </w:r>
      <w:r w:rsidR="7AEBF94A">
        <w:t xml:space="preserve">effects </w:t>
      </w:r>
      <w:r>
        <w:t xml:space="preserve">include induced economic impacts, which refers to the additional GVA, jobs and tax revenues generated by the employees through increased purchasing power.  </w:t>
      </w:r>
    </w:p>
    <w:p w14:paraId="27AD4F7B" w14:textId="2798201E" w:rsidR="00C744F1" w:rsidRDefault="00C744F1" w:rsidP="00C744F1">
      <w:pPr>
        <w:pBdr>
          <w:top w:val="single" w:sz="4" w:space="1" w:color="auto"/>
          <w:left w:val="single" w:sz="4" w:space="4" w:color="auto"/>
          <w:bottom w:val="single" w:sz="4" w:space="1" w:color="auto"/>
          <w:right w:val="single" w:sz="4" w:space="4" w:color="auto"/>
        </w:pBdr>
      </w:pPr>
      <w:r>
        <w:t xml:space="preserve">This report suggested that a reduction in gambling expenditure would have a positive effect on the economy since households would reallocate their expenditures on other goods and services, which have higher economic multipliers than gambling products. For example, if gambling expenditure decreases by 10% (approx. £1 billion), and individuals switched to retail activity, then GVA would be £311 million higher, there would be 24,000 more jobs, and the government would have an extra £171 million </w:t>
      </w:r>
      <w:r w:rsidR="00EF2BF0">
        <w:t xml:space="preserve">in </w:t>
      </w:r>
      <w:r>
        <w:t>tax revenue. Similar to NERA economic analysis, they failed to consider the “downward biases” in their analysis.</w:t>
      </w:r>
    </w:p>
    <w:p w14:paraId="578B4646" w14:textId="77777777" w:rsidR="00F055EE" w:rsidRDefault="00F055EE" w:rsidP="00C744F1">
      <w:r>
        <w:br w:type="page"/>
      </w:r>
    </w:p>
    <w:p w14:paraId="3ECEE006" w14:textId="44B10EA2" w:rsidR="00C744F1" w:rsidRPr="004459FA" w:rsidRDefault="00F055EE" w:rsidP="004459FA">
      <w:pPr>
        <w:pStyle w:val="Heading2"/>
        <w:rPr>
          <w:b/>
          <w:bCs/>
          <w:color w:val="000000" w:themeColor="text1"/>
          <w:sz w:val="28"/>
          <w:szCs w:val="28"/>
        </w:rPr>
      </w:pPr>
      <w:r w:rsidRPr="004459FA">
        <w:rPr>
          <w:b/>
          <w:bCs/>
          <w:color w:val="000000" w:themeColor="text1"/>
          <w:sz w:val="28"/>
          <w:szCs w:val="28"/>
        </w:rPr>
        <w:lastRenderedPageBreak/>
        <w:t>Methods</w:t>
      </w:r>
    </w:p>
    <w:p w14:paraId="6C942540" w14:textId="77777777" w:rsidR="008B2E37" w:rsidRDefault="008B2E37" w:rsidP="1CE769A4">
      <w:pPr>
        <w:spacing w:after="0"/>
      </w:pPr>
    </w:p>
    <w:p w14:paraId="434A7BCD" w14:textId="46F7B61F" w:rsidR="00F055EE" w:rsidRDefault="177BB09D" w:rsidP="00E657A2">
      <w:r>
        <w:t xml:space="preserve">There are three </w:t>
      </w:r>
      <w:r w:rsidR="006354D6">
        <w:t xml:space="preserve">key </w:t>
      </w:r>
      <w:r>
        <w:t xml:space="preserve">stages to this </w:t>
      </w:r>
      <w:r w:rsidR="009B7EFA">
        <w:t xml:space="preserve">research </w:t>
      </w:r>
      <w:r>
        <w:t>project</w:t>
      </w:r>
      <w:r w:rsidR="00334D65">
        <w:t>, outlined in Figure 1</w:t>
      </w:r>
      <w:r>
        <w:t xml:space="preserve">. In the first stage, the aim is to carry out a new survey of regular gamblers (those gambling at least monthly on activities other than lotteries and scratch-cards) in </w:t>
      </w:r>
      <w:r w:rsidR="42797BBC">
        <w:t xml:space="preserve">Great </w:t>
      </w:r>
      <w:r>
        <w:t xml:space="preserve">Britain </w:t>
      </w:r>
      <w:r w:rsidR="2D274CF0">
        <w:t xml:space="preserve">(excluding Northern Ireland) </w:t>
      </w:r>
      <w:r>
        <w:t xml:space="preserve">to </w:t>
      </w:r>
      <w:r w:rsidR="2D274CF0">
        <w:t>obtain</w:t>
      </w:r>
      <w:r>
        <w:t xml:space="preserve"> an idea about their gambling behaviour. Figure 1</w:t>
      </w:r>
      <w:r w:rsidR="00334D65">
        <w:t xml:space="preserve"> shows</w:t>
      </w:r>
      <w:r>
        <w:t xml:space="preserve"> </w:t>
      </w:r>
      <w:r w:rsidR="00334D65">
        <w:t xml:space="preserve">that </w:t>
      </w:r>
      <w:r>
        <w:t xml:space="preserve">the first stage will inform the second and third stages of this project. In the second stage, we </w:t>
      </w:r>
      <w:r w:rsidR="384ADEF5">
        <w:t xml:space="preserve">will undertake a </w:t>
      </w:r>
      <w:r w:rsidR="00BD03AF">
        <w:t xml:space="preserve">stated preference </w:t>
      </w:r>
      <w:r w:rsidR="384ADEF5">
        <w:t>discrete choice experiment</w:t>
      </w:r>
      <w:r w:rsidR="00BD03AF">
        <w:t xml:space="preserve"> (SPDCE)</w:t>
      </w:r>
      <w:r w:rsidR="384ADEF5">
        <w:t xml:space="preserve"> </w:t>
      </w:r>
      <w:r w:rsidR="15051A37">
        <w:t xml:space="preserve">where </w:t>
      </w:r>
      <w:r w:rsidR="1379A1A8">
        <w:t>people who</w:t>
      </w:r>
      <w:r w:rsidR="15051A37">
        <w:t xml:space="preserve"> gamble</w:t>
      </w:r>
      <w:r w:rsidR="32B11E03">
        <w:t xml:space="preserve"> regularly</w:t>
      </w:r>
      <w:r w:rsidR="15051A37">
        <w:t xml:space="preserve"> will be surveyed to </w:t>
      </w:r>
      <w:r w:rsidR="7A97397B">
        <w:t>collect data on</w:t>
      </w:r>
      <w:r w:rsidR="22B67CE7">
        <w:t xml:space="preserve"> how their personal expenditure could change </w:t>
      </w:r>
      <w:r w:rsidR="1ED516AB">
        <w:t>under a change in gambling legislation</w:t>
      </w:r>
      <w:r w:rsidR="7A3B8A49">
        <w:t>.</w:t>
      </w:r>
      <w:r w:rsidR="1ED516AB">
        <w:t xml:space="preserve"> Choice modelling will be used </w:t>
      </w:r>
      <w:r w:rsidR="7A97397B">
        <w:t xml:space="preserve">to analyse the decisions </w:t>
      </w:r>
      <w:r w:rsidR="6E205D5C">
        <w:t xml:space="preserve">and estimate the value that respondents place on the different categories of personal </w:t>
      </w:r>
      <w:r w:rsidR="7A3B8A49">
        <w:t>expenditure including other goods and services, savings and debt-reduction</w:t>
      </w:r>
      <w:r w:rsidR="28D4B744">
        <w:t xml:space="preserve">. We can use this to derive elasticities between </w:t>
      </w:r>
      <w:r w:rsidR="24755C6F">
        <w:t xml:space="preserve">these different aspects of consumer expenditure. </w:t>
      </w:r>
      <w:r w:rsidR="43E4E4A6">
        <w:t>In the final stage, which will be based on the findings from the first two stages, we will assess the</w:t>
      </w:r>
      <w:r w:rsidR="0F9A3B69">
        <w:t xml:space="preserve"> macroeconomic effects of any changes in consumption – including to other baskets of goods, savings and debt-reduction – by scaling these effects into a model of the UK economy. </w:t>
      </w:r>
      <w:r w:rsidR="43E4E4A6">
        <w:t xml:space="preserve"> </w:t>
      </w:r>
    </w:p>
    <w:p w14:paraId="183BFEA4" w14:textId="31FA85CB" w:rsidR="008B2E37" w:rsidRDefault="327DA698" w:rsidP="1CE769A4">
      <w:pPr>
        <w:pStyle w:val="Caption"/>
        <w:rPr>
          <w:color w:val="000000" w:themeColor="text1"/>
          <w:sz w:val="24"/>
          <w:szCs w:val="24"/>
        </w:rPr>
      </w:pPr>
      <w:r w:rsidRPr="5B4BE494">
        <w:rPr>
          <w:i w:val="0"/>
          <w:iCs w:val="0"/>
          <w:color w:val="000000" w:themeColor="text1"/>
          <w:sz w:val="24"/>
          <w:szCs w:val="24"/>
        </w:rPr>
        <w:t xml:space="preserve">Figure </w:t>
      </w:r>
      <w:r w:rsidR="067E8825" w:rsidRPr="5B4BE494">
        <w:rPr>
          <w:color w:val="000000" w:themeColor="text1"/>
          <w:sz w:val="24"/>
          <w:szCs w:val="24"/>
        </w:rPr>
        <w:fldChar w:fldCharType="begin"/>
      </w:r>
      <w:r w:rsidR="067E8825" w:rsidRPr="5B4BE494">
        <w:rPr>
          <w:i w:val="0"/>
          <w:iCs w:val="0"/>
          <w:color w:val="000000" w:themeColor="text1"/>
          <w:sz w:val="24"/>
          <w:szCs w:val="24"/>
        </w:rPr>
        <w:instrText xml:space="preserve"> SEQ Figure \* ARABIC </w:instrText>
      </w:r>
      <w:r w:rsidR="067E8825" w:rsidRPr="5B4BE494">
        <w:rPr>
          <w:color w:val="000000" w:themeColor="text1"/>
          <w:sz w:val="24"/>
          <w:szCs w:val="24"/>
        </w:rPr>
        <w:fldChar w:fldCharType="separate"/>
      </w:r>
      <w:r w:rsidRPr="5B4BE494">
        <w:rPr>
          <w:i w:val="0"/>
          <w:iCs w:val="0"/>
          <w:noProof/>
          <w:color w:val="000000" w:themeColor="text1"/>
          <w:sz w:val="24"/>
          <w:szCs w:val="24"/>
        </w:rPr>
        <w:t>1</w:t>
      </w:r>
      <w:r w:rsidR="067E8825" w:rsidRPr="5B4BE494">
        <w:rPr>
          <w:color w:val="000000" w:themeColor="text1"/>
          <w:sz w:val="24"/>
          <w:szCs w:val="24"/>
        </w:rPr>
        <w:fldChar w:fldCharType="end"/>
      </w:r>
      <w:r w:rsidR="067E8825">
        <w:tab/>
      </w:r>
      <w:r w:rsidRPr="5B4BE494">
        <w:rPr>
          <w:i w:val="0"/>
          <w:iCs w:val="0"/>
          <w:color w:val="000000" w:themeColor="text1"/>
          <w:sz w:val="24"/>
          <w:szCs w:val="24"/>
        </w:rPr>
        <w:t>Summary of the project stages</w:t>
      </w:r>
    </w:p>
    <w:p w14:paraId="358C1C4C" w14:textId="1DC3268F" w:rsidR="00F055EE" w:rsidRDefault="51847817" w:rsidP="5B4BE494">
      <w:r>
        <w:rPr>
          <w:noProof/>
        </w:rPr>
        <w:drawing>
          <wp:inline distT="0" distB="0" distL="0" distR="0" wp14:anchorId="0B0D17EC" wp14:editId="20958177">
            <wp:extent cx="4572000" cy="2343150"/>
            <wp:effectExtent l="0" t="0" r="0" b="0"/>
            <wp:docPr id="1554893117" name="Picture 1554893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2343150"/>
                    </a:xfrm>
                    <a:prstGeom prst="rect">
                      <a:avLst/>
                    </a:prstGeom>
                  </pic:spPr>
                </pic:pic>
              </a:graphicData>
            </a:graphic>
          </wp:inline>
        </w:drawing>
      </w:r>
    </w:p>
    <w:p w14:paraId="7BE85C5D" w14:textId="7A69CF87" w:rsidR="0092505A" w:rsidRDefault="0092505A" w:rsidP="0092505A">
      <w:pPr>
        <w:pStyle w:val="Heading3"/>
        <w:rPr>
          <w:color w:val="000000" w:themeColor="text1"/>
        </w:rPr>
      </w:pPr>
    </w:p>
    <w:p w14:paraId="22AB836F" w14:textId="6B0D1972" w:rsidR="0092505A" w:rsidRPr="004459FA" w:rsidRDefault="0092505A" w:rsidP="004459FA">
      <w:pPr>
        <w:pStyle w:val="Heading3"/>
        <w:rPr>
          <w:b/>
          <w:bCs/>
          <w:i/>
          <w:iCs/>
          <w:color w:val="000000" w:themeColor="text1"/>
        </w:rPr>
      </w:pPr>
      <w:r w:rsidRPr="004459FA">
        <w:rPr>
          <w:b/>
          <w:bCs/>
          <w:color w:val="000000" w:themeColor="text1"/>
        </w:rPr>
        <w:t>Stage 1</w:t>
      </w:r>
      <w:r>
        <w:rPr>
          <w:b/>
          <w:bCs/>
          <w:color w:val="000000" w:themeColor="text1"/>
        </w:rPr>
        <w:t xml:space="preserve">: </w:t>
      </w:r>
      <w:r w:rsidRPr="004459FA">
        <w:rPr>
          <w:b/>
          <w:bCs/>
          <w:color w:val="000000" w:themeColor="text1"/>
        </w:rPr>
        <w:t>Survey data collection regular gamblers</w:t>
      </w:r>
    </w:p>
    <w:p w14:paraId="54658355" w14:textId="77777777" w:rsidR="008B2E37" w:rsidRDefault="008B2E37" w:rsidP="1CE769A4">
      <w:pPr>
        <w:spacing w:after="0"/>
      </w:pPr>
    </w:p>
    <w:p w14:paraId="5091F5C4" w14:textId="3B5596EA" w:rsidR="0092505A" w:rsidRDefault="00D768C5" w:rsidP="0092505A">
      <w:r>
        <w:t xml:space="preserve">To inform the second and third stages of the research project, we will conduct a </w:t>
      </w:r>
      <w:r w:rsidR="0092505A">
        <w:t xml:space="preserve">new survey of regular gamblers (those gambling at least monthly on activities other than lotteries) in </w:t>
      </w:r>
      <w:r w:rsidR="0051375B">
        <w:t>the UK</w:t>
      </w:r>
      <w:r w:rsidR="0092505A">
        <w:t xml:space="preserve">. Specifically, the survey will provide contextual insight to help inform several stages of this project, namely the main assumptions and dependencies </w:t>
      </w:r>
      <w:r>
        <w:t xml:space="preserve">in the </w:t>
      </w:r>
      <w:r w:rsidR="0051375B">
        <w:t>SPDCE</w:t>
      </w:r>
      <w:r>
        <w:t xml:space="preserve"> and macroeconomic analyses </w:t>
      </w:r>
      <w:r w:rsidR="0092505A">
        <w:t xml:space="preserve">by providing information on the proportion of regular gamblers who are liquidity constrained; assessing how existing levels of gambling expenditure </w:t>
      </w:r>
      <w:r w:rsidR="009949CD">
        <w:t xml:space="preserve">are </w:t>
      </w:r>
      <w:r w:rsidR="0092505A">
        <w:t xml:space="preserve">situated within broader types of expenditure; </w:t>
      </w:r>
      <w:r>
        <w:t xml:space="preserve">engagement in unlicensed gambling activity, </w:t>
      </w:r>
      <w:r w:rsidR="0092505A">
        <w:t>and the extent to which those with higher or lower levels of gambling expenditure have differential levels of income, savings, number of dependents</w:t>
      </w:r>
      <w:r w:rsidR="00553851">
        <w:t>,</w:t>
      </w:r>
      <w:r w:rsidR="0092505A">
        <w:t xml:space="preserve"> etc. </w:t>
      </w:r>
    </w:p>
    <w:p w14:paraId="68946910" w14:textId="77777777" w:rsidR="00E653D0" w:rsidRDefault="43E4E4A6" w:rsidP="0092505A">
      <w:r w:rsidRPr="50F8DD03">
        <w:rPr>
          <w:b/>
          <w:bCs/>
          <w:i/>
          <w:iCs/>
        </w:rPr>
        <w:t>Design:</w:t>
      </w:r>
      <w:r>
        <w:t xml:space="preserve"> </w:t>
      </w:r>
    </w:p>
    <w:p w14:paraId="6EC6D53D" w14:textId="08AD40F6" w:rsidR="00E653D0" w:rsidRDefault="43E4E4A6" w:rsidP="0092505A">
      <w:r w:rsidRPr="50F8DD03">
        <w:rPr>
          <w:i/>
          <w:iCs/>
        </w:rPr>
        <w:t>Sample:</w:t>
      </w:r>
      <w:r>
        <w:t xml:space="preserve"> </w:t>
      </w:r>
      <w:r w:rsidR="009949CD">
        <w:t>We will conduct a</w:t>
      </w:r>
      <w:r>
        <w:t>n online random probability survey of regular gamblers (gambling at least monthly on activities other than lotteries) (n=~1</w:t>
      </w:r>
      <w:r w:rsidR="6B884AED">
        <w:t>,</w:t>
      </w:r>
      <w:r>
        <w:t xml:space="preserve">500). Survey participants will be aged 18 and over </w:t>
      </w:r>
      <w:r>
        <w:lastRenderedPageBreak/>
        <w:t xml:space="preserve">live in Great Britain. The sample frame is based on Ipsos Mori’s Knowledge Panel, the largest random probability online panel in Britain with panellists recruited through random probability methods: 10,000 panellists will be invited to participate, of which 20-25% are likely to be regular gamblers who will be invited to complete the full online survey. Assuming a response rate of 65% (achieved on other studies), the estimated sample size will be around 1,300-1,500 regular gamblers. This will allow us to detect a 4.8 percentage point difference between groups, assuming an underlying prevalence rate of 10%, at 80% power. </w:t>
      </w:r>
    </w:p>
    <w:p w14:paraId="0AB28B6A" w14:textId="17254A25" w:rsidR="00E653D0" w:rsidRDefault="43E4E4A6" w:rsidP="0092505A">
      <w:r w:rsidRPr="50F8DD03">
        <w:rPr>
          <w:i/>
          <w:iCs/>
        </w:rPr>
        <w:t>Measures:</w:t>
      </w:r>
      <w:r>
        <w:t xml:space="preserve"> Measures will include standardised survey questions capturing gambling behaviours and problem gambling severity scores (using the validated Problem Gambling Severity Index), questions about income, savings and debt, and expenditure on a range of goods and services within the typical sectors in society including expenditure on </w:t>
      </w:r>
      <w:r w:rsidR="4843B542">
        <w:t xml:space="preserve">unlicensed </w:t>
      </w:r>
      <w:r>
        <w:t xml:space="preserve">gambling. New measures devised for this survey will include measurement of total gambling expenditure, use of non-regulated gambling products and likely use of them in the future. The questionnaire design will be informed by Expert Panel review of the draft questions among those with lived experience of gambling (n=5) and by two rounds of cognitive testing of the questionnaire (n=16). Cognitive testing methods are a well-recognised approach for improving the face validity and reliability of survey data. This, in combination with </w:t>
      </w:r>
      <w:r w:rsidR="4843B542">
        <w:t xml:space="preserve">the </w:t>
      </w:r>
      <w:r>
        <w:t xml:space="preserve">Expert Panel review, allows us to improve, refine and test the proposed survey content. </w:t>
      </w:r>
    </w:p>
    <w:p w14:paraId="48215903" w14:textId="77777777" w:rsidR="00E653D0" w:rsidRDefault="43E4E4A6" w:rsidP="0092505A">
      <w:r w:rsidRPr="50F8DD03">
        <w:rPr>
          <w:i/>
          <w:iCs/>
        </w:rPr>
        <w:t>Data collection:</w:t>
      </w:r>
      <w:r>
        <w:t xml:space="preserve"> Participants will be sent an email, inviting them to participate. The purpose of the study will be explained and consent to participate will be obtained. The survey will last approximately 15 minutes. Participants will be offered Knowledge Panel points (worth about 0.50p) to thank them for their time. </w:t>
      </w:r>
    </w:p>
    <w:p w14:paraId="0A8E33FA" w14:textId="1DFD5745" w:rsidR="0092505A" w:rsidRDefault="43E4E4A6" w:rsidP="0092505A">
      <w:r w:rsidRPr="50F8DD03">
        <w:rPr>
          <w:i/>
          <w:iCs/>
        </w:rPr>
        <w:t>Analyses:</w:t>
      </w:r>
      <w:r>
        <w:t xml:space="preserve"> Data will be provided, cleaned, </w:t>
      </w:r>
      <w:r w:rsidR="520C7C97">
        <w:t>managed,</w:t>
      </w:r>
      <w:r>
        <w:t xml:space="preserve"> and analysed in STATA. Statistical analysis will use survey weights to adjust for non-random non-response. Univariate and multi</w:t>
      </w:r>
      <w:r w:rsidR="4843B542">
        <w:t>-</w:t>
      </w:r>
      <w:r>
        <w:t xml:space="preserve">variable analyses will compare the extent to which expenditure and financial consumption patterns vary between different types of </w:t>
      </w:r>
      <w:r w:rsidR="520C7C97">
        <w:t>gamblers</w:t>
      </w:r>
      <w:r>
        <w:t>, providing key insights for stage 2.</w:t>
      </w:r>
    </w:p>
    <w:p w14:paraId="5A9846C2" w14:textId="7E5B9DAA" w:rsidR="00D768C5" w:rsidRDefault="00D768C5" w:rsidP="00D768C5">
      <w:pPr>
        <w:pStyle w:val="Heading3"/>
        <w:rPr>
          <w:b/>
          <w:bCs/>
          <w:color w:val="000000" w:themeColor="text1"/>
        </w:rPr>
      </w:pPr>
      <w:r w:rsidRPr="004459FA">
        <w:rPr>
          <w:b/>
          <w:bCs/>
          <w:color w:val="000000" w:themeColor="text1"/>
        </w:rPr>
        <w:t xml:space="preserve">Stage 2: </w:t>
      </w:r>
      <w:r w:rsidR="0051375B">
        <w:rPr>
          <w:b/>
          <w:bCs/>
          <w:color w:val="000000" w:themeColor="text1"/>
        </w:rPr>
        <w:t xml:space="preserve">Stated Preference </w:t>
      </w:r>
      <w:r w:rsidR="00842133">
        <w:rPr>
          <w:b/>
          <w:bCs/>
          <w:color w:val="000000" w:themeColor="text1"/>
        </w:rPr>
        <w:t>Discrete</w:t>
      </w:r>
      <w:r w:rsidRPr="004459FA">
        <w:rPr>
          <w:b/>
          <w:bCs/>
          <w:color w:val="000000" w:themeColor="text1"/>
        </w:rPr>
        <w:t xml:space="preserve"> Choice Experiment</w:t>
      </w:r>
      <w:r w:rsidR="0051375B">
        <w:rPr>
          <w:b/>
          <w:bCs/>
          <w:color w:val="000000" w:themeColor="text1"/>
        </w:rPr>
        <w:t xml:space="preserve"> (SPDCE)</w:t>
      </w:r>
      <w:r w:rsidR="00842133">
        <w:rPr>
          <w:b/>
          <w:bCs/>
          <w:color w:val="000000" w:themeColor="text1"/>
        </w:rPr>
        <w:t xml:space="preserve"> and Choice Modelling</w:t>
      </w:r>
    </w:p>
    <w:p w14:paraId="0C1EC0AF" w14:textId="77777777" w:rsidR="00E653D0" w:rsidRDefault="00E653D0" w:rsidP="00151D41">
      <w:pPr>
        <w:spacing w:after="0"/>
      </w:pPr>
    </w:p>
    <w:p w14:paraId="22A62EE3" w14:textId="51B5E841" w:rsidR="00D768C5" w:rsidRDefault="520C7C97" w:rsidP="00506131">
      <w:r>
        <w:t xml:space="preserve">In the second stage of this research, we will </w:t>
      </w:r>
      <w:r w:rsidR="22846C99">
        <w:t xml:space="preserve">collect </w:t>
      </w:r>
      <w:r w:rsidR="19C55CD4">
        <w:t xml:space="preserve">quantitative data on </w:t>
      </w:r>
      <w:r w:rsidR="22846C99">
        <w:t>regular gamblers</w:t>
      </w:r>
      <w:r w:rsidR="19C55CD4">
        <w:t xml:space="preserve"> preferences </w:t>
      </w:r>
      <w:r w:rsidR="22846C99">
        <w:t xml:space="preserve">for shifting expenditure </w:t>
      </w:r>
      <w:r w:rsidR="4FDF3A88">
        <w:t xml:space="preserve">from gambling to three main categories: goods and services, savings and debt reduction using a </w:t>
      </w:r>
      <w:r w:rsidR="0051375B">
        <w:t xml:space="preserve">stated preference </w:t>
      </w:r>
      <w:r w:rsidR="19C55CD4">
        <w:t>discrete choice experiment (</w:t>
      </w:r>
      <w:r w:rsidR="0051375B">
        <w:t>SP</w:t>
      </w:r>
      <w:r w:rsidR="19C55CD4">
        <w:t xml:space="preserve">DCE) survey. </w:t>
      </w:r>
      <w:r w:rsidR="0051375B">
        <w:t>SP</w:t>
      </w:r>
      <w:r w:rsidR="19C55CD4">
        <w:t>DCEs are widely used to collect data on consumer behaviours</w:t>
      </w:r>
      <w:r w:rsidR="3752C47B">
        <w:t xml:space="preserve"> and </w:t>
      </w:r>
      <w:r w:rsidR="19C55CD4">
        <w:t>preferences across a variety of settings including transport, health and the environment (e.g. van den Broek-Altenburg, 2020; Rakotonarivo et al, 2016). Participants are presented with alternative options, each characterised by different levels of attributes, and are asked to make choices among them</w:t>
      </w:r>
      <w:r w:rsidR="245B15FF">
        <w:t>, known as choice tasks</w:t>
      </w:r>
      <w:r w:rsidR="19C55CD4">
        <w:t>. The</w:t>
      </w:r>
      <w:r w:rsidR="245B15FF">
        <w:t xml:space="preserve"> </w:t>
      </w:r>
      <w:r w:rsidR="19C55CD4">
        <w:t xml:space="preserve">attributes </w:t>
      </w:r>
      <w:r w:rsidR="245B15FF">
        <w:t xml:space="preserve">and choice tasks </w:t>
      </w:r>
      <w:r w:rsidR="19C55CD4">
        <w:t xml:space="preserve">are deliberately varied across options to ensure that participants face trade-offs when making their selections. By offering different combinations of attributes within each choice </w:t>
      </w:r>
      <w:r w:rsidR="245B15FF">
        <w:t>tasks</w:t>
      </w:r>
      <w:r w:rsidR="19C55CD4">
        <w:t xml:space="preserve">, </w:t>
      </w:r>
      <w:r w:rsidR="0051375B">
        <w:t>SP</w:t>
      </w:r>
      <w:r w:rsidR="19C55CD4">
        <w:t>DCEs mimic the rational decision-making process of consumers and prove valuable in estimating consumers' utility functions (Mariel et al</w:t>
      </w:r>
      <w:r w:rsidR="009949CD">
        <w:t>.</w:t>
      </w:r>
      <w:r w:rsidR="19C55CD4">
        <w:t>, 2021</w:t>
      </w:r>
      <w:r w:rsidR="7CF2368E">
        <w:t>)</w:t>
      </w:r>
      <w:r w:rsidR="02B5763A">
        <w:t xml:space="preserve">. </w:t>
      </w:r>
      <w:r w:rsidR="64CF0C87">
        <w:t xml:space="preserve">We will use choice modelling to analyse the data collected within the </w:t>
      </w:r>
      <w:r w:rsidR="0051375B">
        <w:t>SP</w:t>
      </w:r>
      <w:r w:rsidR="64CF0C87">
        <w:t>DCE survey which will allow us to</w:t>
      </w:r>
      <w:r w:rsidR="7CF2368E">
        <w:t xml:space="preserve"> </w:t>
      </w:r>
      <w:r>
        <w:t xml:space="preserve">estimate the demand for various goods and services, </w:t>
      </w:r>
      <w:r w:rsidR="7CF2368E">
        <w:t xml:space="preserve">compared to </w:t>
      </w:r>
      <w:r w:rsidR="02B5763A">
        <w:t>increasing savings and paying down debt reduction</w:t>
      </w:r>
      <w:r w:rsidR="4566F4BC">
        <w:t xml:space="preserve">. </w:t>
      </w:r>
    </w:p>
    <w:p w14:paraId="7023D8C9" w14:textId="2A40913B" w:rsidR="00D804AE" w:rsidRDefault="00D804AE" w:rsidP="00506131">
      <w:r>
        <w:t xml:space="preserve">An initial scoping review of the literature suggests very few choice experiments have been </w:t>
      </w:r>
      <w:r w:rsidRPr="007D0008">
        <w:t>undertaken in the context of gambling spend</w:t>
      </w:r>
      <w:r>
        <w:t xml:space="preserve">, </w:t>
      </w:r>
      <w:r w:rsidRPr="007D0008">
        <w:t xml:space="preserve">for examples see Ida </w:t>
      </w:r>
      <w:r>
        <w:t>and</w:t>
      </w:r>
      <w:r w:rsidRPr="007D0008">
        <w:t xml:space="preserve"> Goto (2009); Rockloff et al. (2017), Teichert et al. (2021) and Cameron </w:t>
      </w:r>
      <w:r>
        <w:t>and</w:t>
      </w:r>
      <w:r w:rsidRPr="007D0008">
        <w:t xml:space="preserve"> Ride (2023). Ida </w:t>
      </w:r>
      <w:r>
        <w:t>and</w:t>
      </w:r>
      <w:r w:rsidRPr="007D0008">
        <w:t xml:space="preserve"> Goto (2009) investigate the interdependence of four addictive behaviours: smoking, drinking, pachinko (pinball gambling) and </w:t>
      </w:r>
      <w:r w:rsidRPr="007D0008">
        <w:lastRenderedPageBreak/>
        <w:t>horse betting. They</w:t>
      </w:r>
      <w:r>
        <w:t xml:space="preserve"> find significant evidence of interdependencies between the four behaviours. Related to this is the work of Cameron and Ride (2023). They employed a DCE to analyse whether gambling choices differ for people with mental health problems, and whether these differences involve characteristics linked to gambling harms. The findings show that those respondents with mental health problems had a preference for betting on horses with higher odds, with the authors inferring that this behaviour indicates seeing gambling as an escapism and also a preference for riskier behaviour. Consequently, the </w:t>
      </w:r>
      <w:r w:rsidRPr="004459FA">
        <w:rPr>
          <w:i/>
          <w:iCs/>
        </w:rPr>
        <w:t>a priori</w:t>
      </w:r>
      <w:r>
        <w:t xml:space="preserve"> expectation within the DCE is that those individuals with other risky behaviours will be more likely to divert gambling spending into illegal gambling or other risky activities, rather than the open-macro market categories. This is why we wish to extend our choice experiment to include these “off-market” behaviours or “unintended consequences” of gambling reform.</w:t>
      </w:r>
    </w:p>
    <w:p w14:paraId="23D1650C" w14:textId="119A8555" w:rsidR="00D768C5" w:rsidRDefault="00D768C5" w:rsidP="00846292">
      <w:r>
        <w:t>The</w:t>
      </w:r>
      <w:r w:rsidR="00E22C45">
        <w:t xml:space="preserve"> </w:t>
      </w:r>
      <w:r w:rsidR="0051375B">
        <w:t>SP</w:t>
      </w:r>
      <w:r w:rsidR="00E22C45">
        <w:t>DCE</w:t>
      </w:r>
      <w:r>
        <w:t xml:space="preserve"> will be designed to complement the macroeconomic modelling undertaken in Stage </w:t>
      </w:r>
      <w:r w:rsidR="0051375B">
        <w:t xml:space="preserve">1. </w:t>
      </w:r>
      <w:r w:rsidR="00641EA5">
        <w:t xml:space="preserve">Participants will be first presented with a </w:t>
      </w:r>
      <w:r w:rsidR="004E4967">
        <w:t>hypothetical s</w:t>
      </w:r>
      <w:r w:rsidR="00641EA5">
        <w:t xml:space="preserve">cenario outlining a proposed change in gambling legislation.  Participants are asked to assume that they currently spend £100 a month gambling. Under proposed changes in legislation, they are now only allowed to spend £50 a month gambling. This means they now have an extra £50 a month in their pockets that they can spend on </w:t>
      </w:r>
      <w:r w:rsidR="009949CD">
        <w:t xml:space="preserve">a range of </w:t>
      </w:r>
      <w:r w:rsidR="00641EA5">
        <w:t>activities other than gambling</w:t>
      </w:r>
      <w:r w:rsidR="0050027E">
        <w:t>, thus</w:t>
      </w:r>
      <w:r>
        <w:t xml:space="preserve"> captur</w:t>
      </w:r>
      <w:r w:rsidR="0050027E">
        <w:t>ing</w:t>
      </w:r>
      <w:r>
        <w:t xml:space="preserve"> the key economic sectors</w:t>
      </w:r>
      <w:r w:rsidR="0050027E">
        <w:t xml:space="preserve"> which will be</w:t>
      </w:r>
      <w:r>
        <w:t xml:space="preserve"> included within the macro-economic model (such as retail/trade, food and beverage, creative arts and sports</w:t>
      </w:r>
      <w:r w:rsidR="009949CD">
        <w:t>,</w:t>
      </w:r>
      <w:r w:rsidR="00075894">
        <w:t xml:space="preserve"> </w:t>
      </w:r>
      <w:r w:rsidR="00BF5EC0">
        <w:t>pay</w:t>
      </w:r>
      <w:r w:rsidR="009949CD">
        <w:t>ing</w:t>
      </w:r>
      <w:r w:rsidR="00BF5EC0">
        <w:t xml:space="preserve"> down debt and sav</w:t>
      </w:r>
      <w:r w:rsidR="009949CD">
        <w:t>ing)</w:t>
      </w:r>
      <w:r w:rsidR="00BF5EC0">
        <w:t xml:space="preserve">. </w:t>
      </w:r>
      <w:r>
        <w:t>The exercise will then be repeated but under the s</w:t>
      </w:r>
      <w:r w:rsidR="00B120F9">
        <w:t>cenario</w:t>
      </w:r>
      <w:r>
        <w:t xml:space="preserve"> that gambling </w:t>
      </w:r>
      <w:r w:rsidR="00675F2D">
        <w:t>is now</w:t>
      </w:r>
      <w:r>
        <w:t xml:space="preserve"> restricted with unregulated or </w:t>
      </w:r>
      <w:r w:rsidR="00564708">
        <w:t>unlicensed</w:t>
      </w:r>
      <w:r>
        <w:t xml:space="preserve"> options available instead. The addition of such </w:t>
      </w:r>
      <w:r w:rsidR="00564708">
        <w:t>unregulated</w:t>
      </w:r>
      <w:r>
        <w:t xml:space="preserve"> sector and other risky behaviour information will allow for the inclusion of downward biases. The inclusion of the </w:t>
      </w:r>
      <w:r w:rsidR="00564708">
        <w:t>unregulated</w:t>
      </w:r>
      <w:r>
        <w:t xml:space="preserve"> sector is of interest because th</w:t>
      </w:r>
      <w:r w:rsidR="00DB6D20">
        <w:t>is</w:t>
      </w:r>
      <w:r>
        <w:t xml:space="preserve"> sector</w:t>
      </w:r>
      <w:r w:rsidR="00DB6D20">
        <w:t xml:space="preserve"> may</w:t>
      </w:r>
      <w:r>
        <w:t xml:space="preserve"> take money out of the system but </w:t>
      </w:r>
      <w:r w:rsidR="009949CD">
        <w:t xml:space="preserve">is </w:t>
      </w:r>
      <w:r>
        <w:t>not easily incorporated into typical models of expenditure. Previous macroeconomic analyses (e.g. see Box A) failed to account for these factors. T</w:t>
      </w:r>
      <w:r w:rsidR="00314332">
        <w:t xml:space="preserve">he statistical analyses of the data (choice modelling) </w:t>
      </w:r>
      <w:r>
        <w:t xml:space="preserve">will essentially quantify how the consumers' </w:t>
      </w:r>
      <w:r w:rsidR="00314332">
        <w:t>behaviour</w:t>
      </w:r>
      <w:r>
        <w:t xml:space="preserve"> would be predicted to change as a result of gambling regulatory change. The hypothetical exercise will allow us to explore the </w:t>
      </w:r>
      <w:r w:rsidR="00DC3FBE">
        <w:t>f</w:t>
      </w:r>
      <w:r w:rsidR="00DC022D">
        <w:t xml:space="preserve">undamental </w:t>
      </w:r>
      <w:r>
        <w:t>research question</w:t>
      </w:r>
      <w:r w:rsidR="00DC022D">
        <w:t>:</w:t>
      </w:r>
      <w:r>
        <w:t xml:space="preserve"> ‘What is likely to happen to consumers ‘gambling’ money allocation when it is no longer spent on gambling?’</w:t>
      </w:r>
      <w:r w:rsidR="009949CD">
        <w:t>.</w:t>
      </w:r>
      <w:r>
        <w:t xml:space="preserve"> As noted by van den Broek-Altenburg et al. (2020)</w:t>
      </w:r>
      <w:r w:rsidR="0009129C">
        <w:t>,</w:t>
      </w:r>
      <w:r>
        <w:t xml:space="preserve"> the unique contribution of a choice experiments is that it allows researchers to analyse the trade-offs that consumers are willing to make</w:t>
      </w:r>
      <w:r w:rsidR="004A34B3">
        <w:t>,</w:t>
      </w:r>
      <w:r>
        <w:t xml:space="preserve"> including options that may not exist but could in the future (e.g. online gambling).</w:t>
      </w:r>
      <w:r w:rsidR="00E55C91">
        <w:t xml:space="preserve"> </w:t>
      </w:r>
      <w:r>
        <w:t>The questionnaire also include</w:t>
      </w:r>
      <w:r w:rsidR="009949CD">
        <w:t>s</w:t>
      </w:r>
      <w:r>
        <w:t xml:space="preserve"> validated questionnaires on mental health (the Warwick Edinburgh Mental Health and Wellbeing Scale) to explore interdependencies between gambling, other risky behaviours and mental health. Rockloff et al. (2017) make the distinction between </w:t>
      </w:r>
      <w:r w:rsidR="00846292">
        <w:t xml:space="preserve">a person experiencing gambling harms and those who are not </w:t>
      </w:r>
      <w:r>
        <w:t xml:space="preserve">and how their preferences for gambling activities differ. Therefore, we expect </w:t>
      </w:r>
      <w:r w:rsidR="00134A49">
        <w:t xml:space="preserve">that </w:t>
      </w:r>
      <w:r>
        <w:t xml:space="preserve">the survey will need to categorise participants into typical gambling types. </w:t>
      </w:r>
      <w:r w:rsidRPr="004459FA">
        <w:rPr>
          <w:i/>
          <w:iCs/>
        </w:rPr>
        <w:t>A</w:t>
      </w:r>
      <w:r w:rsidR="00134A49" w:rsidRPr="004459FA">
        <w:rPr>
          <w:i/>
          <w:iCs/>
        </w:rPr>
        <w:t xml:space="preserve"> </w:t>
      </w:r>
      <w:r w:rsidRPr="004459FA">
        <w:rPr>
          <w:i/>
          <w:iCs/>
        </w:rPr>
        <w:t>priori</w:t>
      </w:r>
      <w:r>
        <w:t xml:space="preserve"> we have three expected gambling subgroups: i) low spend, low risk ii) high spend, low risk and iii) high spend, high risk. A similar typology was developed by Wardle et al</w:t>
      </w:r>
      <w:r w:rsidR="00134A49">
        <w:t>.</w:t>
      </w:r>
      <w:r>
        <w:t xml:space="preserve"> for the British Gambling Prevalence Survey 2010 (Wardle et al</w:t>
      </w:r>
      <w:r w:rsidR="00134A49">
        <w:t>.</w:t>
      </w:r>
      <w:r>
        <w:t>, 2011).</w:t>
      </w:r>
    </w:p>
    <w:p w14:paraId="331E4E5C" w14:textId="1524C7AD" w:rsidR="00D768C5" w:rsidRDefault="00D768C5" w:rsidP="00D768C5">
      <w:r w:rsidRPr="008963BC">
        <w:rPr>
          <w:i/>
          <w:iCs/>
        </w:rPr>
        <w:t>Survey Design Process:</w:t>
      </w:r>
      <w:r>
        <w:t xml:space="preserve"> Our study will adhere to established best practices in </w:t>
      </w:r>
      <w:r w:rsidR="00FA648C">
        <w:t>SPDCE</w:t>
      </w:r>
      <w:r>
        <w:t xml:space="preserve"> design (Johnston et al., 2017; Mariel et al., 2021). Additionally, insights from the environmental economic valuation literature, particularly </w:t>
      </w:r>
      <w:r w:rsidRPr="007D0008">
        <w:t>Moro et al. (2014) and Hanley et al. (2017), will</w:t>
      </w:r>
      <w:r>
        <w:t xml:space="preserve"> inform the development of survey instruments aimed at capturing socially sensitive and risky behaviours. Creating effective </w:t>
      </w:r>
      <w:r w:rsidR="00FA648C">
        <w:t>SPDCE</w:t>
      </w:r>
      <w:r>
        <w:t xml:space="preserve"> surveys requires significant attention to design and testing to ensure the reliability and validity of welfare estimates. We will utilise the Stage 1 survey to guide the initial survey design, focusing on the following key elements:</w:t>
      </w:r>
    </w:p>
    <w:p w14:paraId="2CB0E076" w14:textId="764EE03E" w:rsidR="00D768C5" w:rsidRDefault="00D768C5" w:rsidP="00D768C5">
      <w:pPr>
        <w:pStyle w:val="ListParagraph"/>
        <w:numPr>
          <w:ilvl w:val="0"/>
          <w:numId w:val="1"/>
        </w:numPr>
      </w:pPr>
      <w:r>
        <w:lastRenderedPageBreak/>
        <w:t>Various gambling behaviours</w:t>
      </w:r>
      <w:r w:rsidR="00644D9D">
        <w:t xml:space="preserve"> and </w:t>
      </w:r>
      <w:r w:rsidR="00DE6783">
        <w:t>types</w:t>
      </w:r>
      <w:r>
        <w:t xml:space="preserve"> (e.g. in-person or online, types such as sports-based, casino)</w:t>
      </w:r>
      <w:r w:rsidR="00644D9D">
        <w:t>.</w:t>
      </w:r>
    </w:p>
    <w:p w14:paraId="189FDBD2" w14:textId="0D626117" w:rsidR="00D768C5" w:rsidRDefault="00D768C5" w:rsidP="00D768C5">
      <w:pPr>
        <w:pStyle w:val="ListParagraph"/>
        <w:numPr>
          <w:ilvl w:val="0"/>
          <w:numId w:val="1"/>
        </w:numPr>
      </w:pPr>
      <w:r>
        <w:t>Expenditure amount and frequency across different gambling types</w:t>
      </w:r>
      <w:r w:rsidR="00644D9D">
        <w:t>.</w:t>
      </w:r>
    </w:p>
    <w:p w14:paraId="47C0CFAB" w14:textId="242B7D1F" w:rsidR="00D768C5" w:rsidRDefault="00D768C5" w:rsidP="00D768C5">
      <w:pPr>
        <w:pStyle w:val="ListParagraph"/>
        <w:numPr>
          <w:ilvl w:val="0"/>
          <w:numId w:val="1"/>
        </w:numPr>
      </w:pPr>
      <w:r>
        <w:t>Anticipated changes in personal spending due to gambling-related factors and perceptions of others</w:t>
      </w:r>
      <w:r w:rsidR="00644D9D">
        <w:t>.</w:t>
      </w:r>
    </w:p>
    <w:p w14:paraId="4AEBBECB" w14:textId="0FB12568" w:rsidR="00D768C5" w:rsidRDefault="00D768C5" w:rsidP="00D768C5">
      <w:pPr>
        <w:pStyle w:val="ListParagraph"/>
        <w:numPr>
          <w:ilvl w:val="0"/>
          <w:numId w:val="1"/>
        </w:numPr>
      </w:pPr>
      <w:r>
        <w:t>Attitudes toward allocating freed-up funds to standard sectors</w:t>
      </w:r>
      <w:r w:rsidR="00C34A42">
        <w:t xml:space="preserve"> and</w:t>
      </w:r>
      <w:r>
        <w:t xml:space="preserve"> </w:t>
      </w:r>
      <w:r w:rsidR="00B36328">
        <w:t>unlicensed</w:t>
      </w:r>
      <w:r>
        <w:t xml:space="preserve"> gambling</w:t>
      </w:r>
      <w:r w:rsidR="00C34A42">
        <w:t xml:space="preserve"> </w:t>
      </w:r>
      <w:r>
        <w:t>considering both personal and perceived spending behaviours.</w:t>
      </w:r>
    </w:p>
    <w:p w14:paraId="51034C42" w14:textId="77777777" w:rsidR="00D768C5" w:rsidRDefault="00D768C5" w:rsidP="00D768C5">
      <w:pPr>
        <w:pStyle w:val="ListParagraph"/>
        <w:numPr>
          <w:ilvl w:val="0"/>
          <w:numId w:val="1"/>
        </w:numPr>
      </w:pPr>
      <w:r>
        <w:t>Expected changes in individual or household expenditure on other goods and services resulting from gambling regulatory changes.</w:t>
      </w:r>
    </w:p>
    <w:p w14:paraId="06916A01" w14:textId="4E641D1E" w:rsidR="00D768C5" w:rsidRDefault="00D768C5" w:rsidP="00D768C5">
      <w:pPr>
        <w:pStyle w:val="ListParagraph"/>
        <w:numPr>
          <w:ilvl w:val="0"/>
          <w:numId w:val="1"/>
        </w:numPr>
      </w:pPr>
      <w:r>
        <w:t>Socio-demographic</w:t>
      </w:r>
      <w:r w:rsidR="0050027E">
        <w:t xml:space="preserve"> and socioeconomic</w:t>
      </w:r>
      <w:r>
        <w:t xml:space="preserve"> characteristics (age, gender, income, household income, employment) to mitigate omitted variable bias.</w:t>
      </w:r>
    </w:p>
    <w:p w14:paraId="139C5CAB" w14:textId="519EB8A3" w:rsidR="00D768C5" w:rsidRDefault="00D768C5" w:rsidP="00D768C5">
      <w:r>
        <w:t xml:space="preserve">The analysis of Stage 1 survey data will inform the preliminary survey design, including the selection of </w:t>
      </w:r>
      <w:r w:rsidR="001E7F68">
        <w:t xml:space="preserve">attributes for the </w:t>
      </w:r>
      <w:r w:rsidR="00287346">
        <w:t>SP</w:t>
      </w:r>
      <w:r w:rsidR="001E7F68">
        <w:t>DCE choice tasks</w:t>
      </w:r>
      <w:r>
        <w:t xml:space="preserve">. Following the protocol for the Stage 1 survey, an Expert Panel of people with lived experience of gambling (n=5) will also review the design of the </w:t>
      </w:r>
      <w:r w:rsidR="00287346">
        <w:t>SP</w:t>
      </w:r>
      <w:r w:rsidR="00803CAB">
        <w:t>DCE</w:t>
      </w:r>
      <w:r>
        <w:t xml:space="preserve">. A comprehensive review of the full survey, encompassing item information, </w:t>
      </w:r>
      <w:r w:rsidR="00C70A84">
        <w:t>attribute descriptions, choice tasks</w:t>
      </w:r>
      <w:r>
        <w:t>, and follow-up attitudinal questions, will follow. Based on these reviews, the survey will undergo revisions and be submitted for ethical approval. A pilot survey (n=50) will be conducted to identify and rectify issues within the survey, such as non-response questions. This pilot will also inform the efficient experimental design, including the number of blocks and choice tasks, by providing valuable priors. The final survey will be developed and administered online</w:t>
      </w:r>
      <w:r w:rsidR="00C70A84">
        <w:t xml:space="preserve"> by the company </w:t>
      </w:r>
      <w:hyperlink r:id="rId12" w:history="1">
        <w:r w:rsidR="00C70A84" w:rsidRPr="00412D2C">
          <w:rPr>
            <w:rStyle w:val="Hyperlink"/>
          </w:rPr>
          <w:t>SurveyEngine</w:t>
        </w:r>
        <w:r w:rsidRPr="00412D2C">
          <w:rPr>
            <w:rStyle w:val="Hyperlink"/>
          </w:rPr>
          <w:t>,</w:t>
        </w:r>
      </w:hyperlink>
      <w:r>
        <w:t xml:space="preserve"> with a minimum target sample size of </w:t>
      </w:r>
      <w:r w:rsidR="00813D7B">
        <w:t>800</w:t>
      </w:r>
      <w:r>
        <w:t xml:space="preserve">, subject to adjustments based on the final design, such as split sampling or multiple treatments. </w:t>
      </w:r>
    </w:p>
    <w:p w14:paraId="709BB75A" w14:textId="38A7AF58" w:rsidR="00D768C5" w:rsidRDefault="00D768C5" w:rsidP="00BE5303">
      <w:r w:rsidRPr="008963BC">
        <w:rPr>
          <w:i/>
          <w:iCs/>
        </w:rPr>
        <w:t>Analyses:</w:t>
      </w:r>
      <w:r>
        <w:t xml:space="preserve"> </w:t>
      </w:r>
      <w:r w:rsidR="00634F5F">
        <w:t>SPDCE d</w:t>
      </w:r>
      <w:r>
        <w:t>ata will be cleaned, managed and analysed in R. We will use the open-source Apollo Package and follow standard best practice guidance</w:t>
      </w:r>
      <w:r w:rsidR="00FC3437">
        <w:t>,</w:t>
      </w:r>
      <w:r>
        <w:t xml:space="preserve"> including Hauber et al. (2016), Hensher et al. (2005) and van den Broek-Altenburg et al. (2020). </w:t>
      </w:r>
      <w:r w:rsidR="00BE5303">
        <w:t xml:space="preserve">Initially we undertake standard multinomial logit models before developing more complex models (likely latent class or random parameters logit) to account </w:t>
      </w:r>
      <w:r w:rsidR="009949CD">
        <w:t xml:space="preserve">for </w:t>
      </w:r>
      <w:r>
        <w:t>heterogeneity in the parameter estimates and to provide insight into the main drivers of respondent</w:t>
      </w:r>
      <w:r w:rsidR="00FC3437">
        <w:t>s</w:t>
      </w:r>
      <w:r>
        <w:t xml:space="preserve">’ preferences: mental health; attitudes towards risky behaviours and demographic characteristics on the choices respondents make. </w:t>
      </w:r>
      <w:r w:rsidR="00950317">
        <w:t>R M</w:t>
      </w:r>
      <w:r w:rsidR="002B3F9A">
        <w:t>arkdown</w:t>
      </w:r>
      <w:r>
        <w:t xml:space="preserve"> will be used to document the modelling and analysis.  Subsequently</w:t>
      </w:r>
      <w:r w:rsidR="009949CD">
        <w:t>,</w:t>
      </w:r>
      <w:r>
        <w:t xml:space="preserve"> we will provide the macro-economic model with </w:t>
      </w:r>
      <w:r w:rsidR="00950317">
        <w:t>estimates</w:t>
      </w:r>
      <w:r>
        <w:t xml:space="preserve"> on individuals</w:t>
      </w:r>
      <w:r w:rsidR="008100E3">
        <w:t>’</w:t>
      </w:r>
      <w:r>
        <w:t xml:space="preserve"> current personal expenditure on a variety of goods and services and crucially how this expenditure would change under proposed gambling reform, and the preferences on the relative substitutability between these different items. </w:t>
      </w:r>
    </w:p>
    <w:p w14:paraId="219D4493" w14:textId="59368483" w:rsidR="72246F73" w:rsidRPr="00F561E4" w:rsidRDefault="25B80037" w:rsidP="1CE769A4">
      <w:pPr>
        <w:rPr>
          <w:color w:val="000000" w:themeColor="text1"/>
        </w:rPr>
      </w:pPr>
      <w:r w:rsidRPr="00F561E4">
        <w:rPr>
          <w:color w:val="000000" w:themeColor="text1"/>
        </w:rPr>
        <w:t>We will also analyse responses by Problem Gambling Severity</w:t>
      </w:r>
      <w:r w:rsidR="440AC520" w:rsidRPr="00F561E4">
        <w:rPr>
          <w:color w:val="000000" w:themeColor="text1"/>
        </w:rPr>
        <w:t xml:space="preserve"> Index</w:t>
      </w:r>
      <w:r w:rsidRPr="00F561E4">
        <w:rPr>
          <w:color w:val="000000" w:themeColor="text1"/>
        </w:rPr>
        <w:t xml:space="preserve"> status to see if choices vary based on severity of experience of gambling harms. Should this be the case, we will </w:t>
      </w:r>
      <w:r w:rsidR="5CD99331" w:rsidRPr="00F561E4">
        <w:rPr>
          <w:color w:val="000000" w:themeColor="text1"/>
        </w:rPr>
        <w:t>compare</w:t>
      </w:r>
      <w:r w:rsidRPr="00F561E4">
        <w:rPr>
          <w:color w:val="000000" w:themeColor="text1"/>
        </w:rPr>
        <w:t xml:space="preserve"> the overall profile of </w:t>
      </w:r>
      <w:r w:rsidR="0B26C8C0" w:rsidRPr="00F561E4">
        <w:rPr>
          <w:color w:val="000000" w:themeColor="text1"/>
        </w:rPr>
        <w:t xml:space="preserve">the achieved DCE </w:t>
      </w:r>
      <w:r w:rsidRPr="00F561E4">
        <w:rPr>
          <w:color w:val="000000" w:themeColor="text1"/>
        </w:rPr>
        <w:t>s</w:t>
      </w:r>
      <w:r w:rsidR="0152A358" w:rsidRPr="00F561E4">
        <w:rPr>
          <w:color w:val="000000" w:themeColor="text1"/>
        </w:rPr>
        <w:t xml:space="preserve">ample </w:t>
      </w:r>
      <w:r w:rsidR="55F6319A" w:rsidRPr="00F561E4">
        <w:rPr>
          <w:color w:val="000000" w:themeColor="text1"/>
        </w:rPr>
        <w:t>with</w:t>
      </w:r>
      <w:r w:rsidR="0152A358" w:rsidRPr="00F561E4">
        <w:rPr>
          <w:color w:val="000000" w:themeColor="text1"/>
        </w:rPr>
        <w:t xml:space="preserve"> the achieved profile of survey respondents at stage 1 to assess if </w:t>
      </w:r>
      <w:r w:rsidR="31AE8F9D" w:rsidRPr="00F561E4">
        <w:rPr>
          <w:color w:val="000000" w:themeColor="text1"/>
        </w:rPr>
        <w:t>the DCE study</w:t>
      </w:r>
      <w:r w:rsidR="0152A358" w:rsidRPr="00F561E4">
        <w:rPr>
          <w:color w:val="000000" w:themeColor="text1"/>
        </w:rPr>
        <w:t xml:space="preserve"> ha</w:t>
      </w:r>
      <w:r w:rsidR="4A501273" w:rsidRPr="00F561E4">
        <w:rPr>
          <w:color w:val="000000" w:themeColor="text1"/>
        </w:rPr>
        <w:t>s</w:t>
      </w:r>
      <w:r w:rsidR="0152A358" w:rsidRPr="00F561E4">
        <w:rPr>
          <w:color w:val="000000" w:themeColor="text1"/>
        </w:rPr>
        <w:t xml:space="preserve"> under or over-representation of p</w:t>
      </w:r>
      <w:r w:rsidR="43BBA9B3" w:rsidRPr="00F561E4">
        <w:rPr>
          <w:color w:val="000000" w:themeColor="text1"/>
        </w:rPr>
        <w:t xml:space="preserve">eople with different PGSI scores. </w:t>
      </w:r>
      <w:r w:rsidR="71AE2AAE" w:rsidRPr="00F561E4">
        <w:rPr>
          <w:color w:val="000000" w:themeColor="text1"/>
        </w:rPr>
        <w:t>If under/over-representation is present,</w:t>
      </w:r>
      <w:r w:rsidR="43BBA9B3" w:rsidRPr="00F561E4">
        <w:rPr>
          <w:color w:val="000000" w:themeColor="text1"/>
        </w:rPr>
        <w:t xml:space="preserve"> we will c</w:t>
      </w:r>
      <w:r w:rsidR="2E2E7CF1" w:rsidRPr="00F561E4">
        <w:rPr>
          <w:color w:val="000000" w:themeColor="text1"/>
        </w:rPr>
        <w:t>ompute</w:t>
      </w:r>
      <w:r w:rsidR="43BBA9B3" w:rsidRPr="00F561E4">
        <w:rPr>
          <w:color w:val="000000" w:themeColor="text1"/>
        </w:rPr>
        <w:t xml:space="preserve"> weights to match the achieve sample from the DCE survey to the achieved sample in stage 1. These weights will be </w:t>
      </w:r>
      <w:r w:rsidR="774A51EF" w:rsidRPr="00F561E4">
        <w:rPr>
          <w:color w:val="000000" w:themeColor="text1"/>
        </w:rPr>
        <w:t>used to adjust</w:t>
      </w:r>
      <w:r w:rsidR="3DD0F29F" w:rsidRPr="00F561E4">
        <w:rPr>
          <w:color w:val="000000" w:themeColor="text1"/>
        </w:rPr>
        <w:t xml:space="preserve"> model</w:t>
      </w:r>
      <w:r w:rsidR="774A51EF" w:rsidRPr="00F561E4">
        <w:rPr>
          <w:color w:val="000000" w:themeColor="text1"/>
        </w:rPr>
        <w:t xml:space="preserve"> estimates </w:t>
      </w:r>
      <w:r w:rsidR="71E01D95" w:rsidRPr="00F561E4">
        <w:rPr>
          <w:color w:val="000000" w:themeColor="text1"/>
        </w:rPr>
        <w:t xml:space="preserve">which are used </w:t>
      </w:r>
      <w:r w:rsidR="774A51EF" w:rsidRPr="00F561E4">
        <w:rPr>
          <w:color w:val="000000" w:themeColor="text1"/>
        </w:rPr>
        <w:t xml:space="preserve">for the macro modelling (see </w:t>
      </w:r>
      <w:r w:rsidR="00F561E4">
        <w:rPr>
          <w:color w:val="000000" w:themeColor="text1"/>
        </w:rPr>
        <w:t>S</w:t>
      </w:r>
      <w:r w:rsidR="774A51EF" w:rsidRPr="00F561E4">
        <w:rPr>
          <w:color w:val="000000" w:themeColor="text1"/>
        </w:rPr>
        <w:t>tage 3).</w:t>
      </w:r>
    </w:p>
    <w:p w14:paraId="4CE5073F" w14:textId="0FB06E71" w:rsidR="5B4BE494" w:rsidRDefault="5B4BE494" w:rsidP="5B4BE494">
      <w:pPr>
        <w:rPr>
          <w:color w:val="FF0000"/>
        </w:rPr>
      </w:pPr>
    </w:p>
    <w:p w14:paraId="20D5F07B" w14:textId="0A8D59E8" w:rsidR="00D768C5" w:rsidRPr="008963BC" w:rsidRDefault="00D768C5" w:rsidP="00D768C5">
      <w:pPr>
        <w:rPr>
          <w:i/>
          <w:iCs/>
        </w:rPr>
      </w:pPr>
      <w:r w:rsidRPr="008963BC">
        <w:rPr>
          <w:i/>
          <w:iCs/>
        </w:rPr>
        <w:t>Proposed</w:t>
      </w:r>
      <w:r>
        <w:rPr>
          <w:i/>
          <w:iCs/>
        </w:rPr>
        <w:t xml:space="preserve"> </w:t>
      </w:r>
      <w:r w:rsidR="00634F5F">
        <w:rPr>
          <w:i/>
          <w:iCs/>
        </w:rPr>
        <w:t>SP</w:t>
      </w:r>
      <w:r w:rsidR="005107E0">
        <w:rPr>
          <w:i/>
          <w:iCs/>
        </w:rPr>
        <w:t>DCE</w:t>
      </w:r>
      <w:r w:rsidRPr="008963BC">
        <w:rPr>
          <w:i/>
          <w:iCs/>
        </w:rPr>
        <w:t xml:space="preserve"> Questionnaire Structure</w:t>
      </w:r>
    </w:p>
    <w:p w14:paraId="1D5DDFE6" w14:textId="77777777" w:rsidR="007F42B6" w:rsidRDefault="00D768C5" w:rsidP="005150AF">
      <w:pPr>
        <w:pStyle w:val="ListParagraph"/>
        <w:numPr>
          <w:ilvl w:val="0"/>
          <w:numId w:val="7"/>
        </w:numPr>
      </w:pPr>
      <w:r>
        <w:t xml:space="preserve">Survey introduction </w:t>
      </w:r>
      <w:r w:rsidR="002B1BD6">
        <w:t xml:space="preserve">will </w:t>
      </w:r>
      <w:r>
        <w:t>inform respondents about the survey topic and give their consent to participate.</w:t>
      </w:r>
    </w:p>
    <w:p w14:paraId="14310EB5" w14:textId="77777777" w:rsidR="007F42B6" w:rsidRDefault="00D768C5" w:rsidP="004E5CB9">
      <w:pPr>
        <w:pStyle w:val="ListParagraph"/>
        <w:numPr>
          <w:ilvl w:val="0"/>
          <w:numId w:val="7"/>
        </w:numPr>
      </w:pPr>
      <w:r>
        <w:lastRenderedPageBreak/>
        <w:t>Attitudinal questions. We will include questions on the respondents</w:t>
      </w:r>
      <w:r w:rsidR="008100E3">
        <w:t>’</w:t>
      </w:r>
      <w:r>
        <w:t xml:space="preserve"> current gambling habits, </w:t>
      </w:r>
      <w:r w:rsidR="00247456">
        <w:t xml:space="preserve">and </w:t>
      </w:r>
      <w:r>
        <w:t xml:space="preserve">attitudes towards gambling. These questions help to explain the heterogeneity in stated preferences. Evidence shows that stated preferences are likely to be affected by whether relevant attitudes are surveyed before or after the </w:t>
      </w:r>
      <w:r w:rsidRPr="008963BC">
        <w:t>choice task (Mariel et al., 2021). Crucially</w:t>
      </w:r>
      <w:r>
        <w:t xml:space="preserve">, we want to avoid respondents choosing the goods that they perceive as socially desirable (Liebe et al., 2016). The impact of the question order will be tested within the pre-survey testing (Expert Panel and pilot survey). </w:t>
      </w:r>
    </w:p>
    <w:p w14:paraId="07878A17" w14:textId="161A1DFA" w:rsidR="007F42B6" w:rsidRDefault="00D768C5" w:rsidP="002F333B">
      <w:pPr>
        <w:pStyle w:val="ListParagraph"/>
        <w:numPr>
          <w:ilvl w:val="0"/>
          <w:numId w:val="7"/>
        </w:numPr>
      </w:pPr>
      <w:r>
        <w:t xml:space="preserve">The </w:t>
      </w:r>
      <w:r w:rsidR="007F42B6">
        <w:t>SPDCE task</w:t>
      </w:r>
      <w:r w:rsidR="00F3201B">
        <w:t xml:space="preserve"> </w:t>
      </w:r>
      <w:r>
        <w:t xml:space="preserve">and valuation scenario: current regulation. Respondents will be provided with a description of the choice task and the market under current gambling legislation.  Individuals will first be presented with a series of </w:t>
      </w:r>
      <w:r w:rsidR="00B464A2">
        <w:t xml:space="preserve">hypothetical </w:t>
      </w:r>
      <w:r w:rsidR="00F3201B">
        <w:t xml:space="preserve">choice tasks </w:t>
      </w:r>
      <w:r>
        <w:t xml:space="preserve">and ask them to imagine they have £X personal expenditure to spend over a range of items. As part of the valuation scenario, we will include a version of the </w:t>
      </w:r>
      <w:r w:rsidR="00F163BC">
        <w:t xml:space="preserve">so-called </w:t>
      </w:r>
      <w:r w:rsidR="00B464A2">
        <w:t>‘</w:t>
      </w:r>
      <w:r>
        <w:t>cheap talk</w:t>
      </w:r>
      <w:r w:rsidR="00B464A2">
        <w:t>’</w:t>
      </w:r>
      <w:r>
        <w:t xml:space="preserve"> script (Cummings and Taylor, 1999) to remind respondents of their budget constraints to encourage more truthful elicitation</w:t>
      </w:r>
      <w:r w:rsidR="007F42B6">
        <w:t>.</w:t>
      </w:r>
    </w:p>
    <w:p w14:paraId="7588B642" w14:textId="77777777" w:rsidR="006E10F8" w:rsidRDefault="00D768C5" w:rsidP="006E10F8">
      <w:pPr>
        <w:pStyle w:val="ListParagraph"/>
        <w:numPr>
          <w:ilvl w:val="0"/>
          <w:numId w:val="7"/>
        </w:numPr>
      </w:pPr>
      <w:r>
        <w:t xml:space="preserve">The </w:t>
      </w:r>
      <w:r w:rsidR="007429F0">
        <w:t xml:space="preserve">SPDCE </w:t>
      </w:r>
      <w:r w:rsidR="004E75A7">
        <w:t>task</w:t>
      </w:r>
      <w:r>
        <w:t xml:space="preserve"> and valuation scenario</w:t>
      </w:r>
      <w:r w:rsidR="00355373">
        <w:t xml:space="preserve"> of</w:t>
      </w:r>
      <w:r>
        <w:t xml:space="preserve"> illegal gambling. The exercise will then be repeated but under the setting that certain gambling options are now restricted with unregulated or </w:t>
      </w:r>
      <w:r w:rsidR="00F163BC">
        <w:t>unlicensed</w:t>
      </w:r>
      <w:r>
        <w:t xml:space="preserve"> options available within the consumption basket instead. The illegal gambling valuation scenario will be designed to be as meaningful as possible to reduce hypothetical bias. </w:t>
      </w:r>
    </w:p>
    <w:p w14:paraId="55546BAE" w14:textId="61431F8D" w:rsidR="006E10F8" w:rsidRDefault="00D768C5" w:rsidP="006E10F8">
      <w:pPr>
        <w:pStyle w:val="ListParagraph"/>
        <w:numPr>
          <w:ilvl w:val="0"/>
          <w:numId w:val="7"/>
        </w:numPr>
      </w:pPr>
      <w:r>
        <w:t xml:space="preserve">Follow-up questions to the </w:t>
      </w:r>
      <w:r w:rsidR="00946FFD">
        <w:t xml:space="preserve">SPDCE </w:t>
      </w:r>
      <w:r>
        <w:t>tasks</w:t>
      </w:r>
      <w:r w:rsidR="0007668D">
        <w:t xml:space="preserve"> include</w:t>
      </w:r>
      <w:r>
        <w:t>: how did the respondent make their choices</w:t>
      </w:r>
      <w:r w:rsidR="009949CD">
        <w:t>?</w:t>
      </w:r>
      <w:r>
        <w:t>; what is the most important attribute to them</w:t>
      </w:r>
      <w:r w:rsidR="009949CD">
        <w:t>?</w:t>
      </w:r>
      <w:r>
        <w:t>; how difficult was it to answer the choice task</w:t>
      </w:r>
      <w:r w:rsidR="009949CD">
        <w:t>?</w:t>
      </w:r>
      <w:r>
        <w:t>; to what extent did protesting affect their behaviour? Whether protest responses should be included or excluded from the data analysis remains an open question. There is no agreement</w:t>
      </w:r>
      <w:r w:rsidR="000727DE">
        <w:t xml:space="preserve"> in the academic literature</w:t>
      </w:r>
      <w:r>
        <w:t xml:space="preserve"> on the best treatment for protest responses, but transparency in both detection and treatment of these responses is </w:t>
      </w:r>
      <w:r w:rsidR="006A49D7">
        <w:t xml:space="preserve">accepted </w:t>
      </w:r>
      <w:r>
        <w:t xml:space="preserve">to be essential (Johnston et al., 2017).  </w:t>
      </w:r>
    </w:p>
    <w:p w14:paraId="1AAEC411" w14:textId="77777777" w:rsidR="006E10F8" w:rsidRDefault="00D768C5" w:rsidP="006E10F8">
      <w:pPr>
        <w:pStyle w:val="ListParagraph"/>
        <w:numPr>
          <w:ilvl w:val="0"/>
          <w:numId w:val="7"/>
        </w:numPr>
      </w:pPr>
      <w:r>
        <w:t>Attitudinal questions</w:t>
      </w:r>
      <w:r w:rsidR="000727DE">
        <w:t>:</w:t>
      </w:r>
      <w:r>
        <w:t xml:space="preserve"> </w:t>
      </w:r>
      <w:r w:rsidR="0094331D">
        <w:t>The positioning of</w:t>
      </w:r>
      <w:r>
        <w:t xml:space="preserve"> attitudinal questions </w:t>
      </w:r>
      <w:r w:rsidR="0094331D">
        <w:t>(</w:t>
      </w:r>
      <w:r>
        <w:t>before or after the choice tasks</w:t>
      </w:r>
      <w:r w:rsidR="0094331D">
        <w:t>) will be</w:t>
      </w:r>
      <w:r>
        <w:t xml:space="preserve"> based on pre-survey testing.</w:t>
      </w:r>
    </w:p>
    <w:p w14:paraId="54F07DC1" w14:textId="62E58867" w:rsidR="00D768C5" w:rsidRDefault="00D768C5" w:rsidP="006E10F8">
      <w:pPr>
        <w:pStyle w:val="ListParagraph"/>
        <w:numPr>
          <w:ilvl w:val="0"/>
          <w:numId w:val="7"/>
        </w:numPr>
      </w:pPr>
      <w:r>
        <w:t>Finally, we will ask questions about the respondents</w:t>
      </w:r>
      <w:r w:rsidR="003C2818">
        <w:t>’</w:t>
      </w:r>
      <w:r>
        <w:t xml:space="preserve"> socio-demographic and socioeconomic characteristics (age, gender, personal income, household income, dependents, employment status, highest level of education) following UK census data bands. Income questions are often very sensitive and cause high non-response or misreporting. To reduce the likelihood of non-response</w:t>
      </w:r>
      <w:r w:rsidR="005C600A">
        <w:t>,</w:t>
      </w:r>
      <w:r>
        <w:t xml:space="preserve"> this will be one of the final questions and income will be asked in bands. Questions on health status, Quality of </w:t>
      </w:r>
      <w:r w:rsidR="005C600A">
        <w:t>L</w:t>
      </w:r>
      <w:r>
        <w:t xml:space="preserve">ife (EQ-5D-5L), and mental health (the Warwick Edinburgh Mental Health and Wellbeing Scale) will also be included. </w:t>
      </w:r>
    </w:p>
    <w:p w14:paraId="035E6776" w14:textId="3F926306" w:rsidR="1CE769A4" w:rsidRDefault="753D82F4" w:rsidP="7E4B988B">
      <w:pPr>
        <w:pStyle w:val="Heading3"/>
        <w:rPr>
          <w:b/>
          <w:bCs/>
          <w:color w:val="000000" w:themeColor="text1"/>
        </w:rPr>
      </w:pPr>
      <w:r w:rsidRPr="7E4B988B">
        <w:rPr>
          <w:b/>
          <w:bCs/>
          <w:color w:val="000000" w:themeColor="text1"/>
        </w:rPr>
        <w:t>Stage 3: Macroeconomic impact</w:t>
      </w:r>
      <w:r w:rsidR="31BF4563" w:rsidRPr="7E4B988B">
        <w:rPr>
          <w:b/>
          <w:bCs/>
          <w:color w:val="000000" w:themeColor="text1"/>
        </w:rPr>
        <w:t>s</w:t>
      </w:r>
    </w:p>
    <w:p w14:paraId="26A753D5" w14:textId="77777777" w:rsidR="00F163BC" w:rsidRPr="00F163BC" w:rsidRDefault="00F163BC" w:rsidP="1CE769A4">
      <w:pPr>
        <w:spacing w:after="0"/>
      </w:pPr>
    </w:p>
    <w:p w14:paraId="02C2BEFC" w14:textId="1A2F23DD" w:rsidR="000B7B53" w:rsidRDefault="0F9A3B69" w:rsidP="00752314">
      <w:r>
        <w:t xml:space="preserve">The third stage of our modelling </w:t>
      </w:r>
      <w:r w:rsidR="00585B55">
        <w:t>will draw</w:t>
      </w:r>
      <w:r w:rsidR="753D82F4">
        <w:t xml:space="preserve"> </w:t>
      </w:r>
      <w:r>
        <w:t>upon</w:t>
      </w:r>
      <w:r w:rsidR="753D82F4">
        <w:t xml:space="preserve"> the insight from the new survey data and the BBCE</w:t>
      </w:r>
      <w:r>
        <w:t xml:space="preserve"> to assess the likely macroeconomic impacts of </w:t>
      </w:r>
      <w:r w:rsidR="55664045">
        <w:t>changes in gambling policy</w:t>
      </w:r>
      <w:r>
        <w:t xml:space="preserve">. In doing so, we will assess the impact upon key economic variables such as Gross </w:t>
      </w:r>
      <w:r w:rsidR="705BEF85">
        <w:t>Value Added</w:t>
      </w:r>
      <w:r>
        <w:t>, Employment, Wages</w:t>
      </w:r>
      <w:r w:rsidR="55664045">
        <w:t xml:space="preserve">, </w:t>
      </w:r>
      <w:r>
        <w:t>Household Incomes</w:t>
      </w:r>
      <w:r w:rsidR="6D2B4A16">
        <w:t>, Household Consumption/Savings</w:t>
      </w:r>
      <w:r w:rsidR="55664045">
        <w:t xml:space="preserve"> and Tax Revenues</w:t>
      </w:r>
      <w:r>
        <w:t xml:space="preserve">. We will also assess the positive/negative impacts upon different industrial sectors of the economy, and the overall ‘net’ effect </w:t>
      </w:r>
      <w:r w:rsidR="55664045">
        <w:t xml:space="preserve">on the aggregate UK economy. We assume that any increase/decrease in tax revenues are re-invested in government spending/cut from government spending. </w:t>
      </w:r>
    </w:p>
    <w:p w14:paraId="02CAC39F" w14:textId="5572DF28" w:rsidR="000F5F07" w:rsidRDefault="02124139" w:rsidP="000B7B53">
      <w:r>
        <w:t>We anticipate that the key demand</w:t>
      </w:r>
      <w:r w:rsidR="1908BACC">
        <w:t>-</w:t>
      </w:r>
      <w:r>
        <w:t xml:space="preserve">side impacts will arise through direct, indirect and induced effects. Direct effects relate to the shifting patterns of expenditure having positive/negative impacts </w:t>
      </w:r>
      <w:r>
        <w:lastRenderedPageBreak/>
        <w:t>upon different sectors of the economy. Indirect effects aris</w:t>
      </w:r>
      <w:r w:rsidR="0B31732F">
        <w:t>e</w:t>
      </w:r>
      <w:r>
        <w:t xml:space="preserve"> from the downstream impacts upon suppliers of gambling activities </w:t>
      </w:r>
      <w:r w:rsidR="7B7B4A0A">
        <w:t>and alt</w:t>
      </w:r>
      <w:r>
        <w:t xml:space="preserve">ernative suppliers (from activities identified </w:t>
      </w:r>
      <w:r w:rsidR="7B7B4A0A">
        <w:t xml:space="preserve">in Stages 1 and 2). Finally, induced effects stem from the impacts upon the incomes of workers and profits of companies </w:t>
      </w:r>
      <w:r w:rsidR="0B31732F">
        <w:t>affected</w:t>
      </w:r>
      <w:r w:rsidR="7B7B4A0A">
        <w:t xml:space="preserve"> by such a change in consumption </w:t>
      </w:r>
      <w:r w:rsidR="089F7B5A">
        <w:t>following</w:t>
      </w:r>
      <w:r w:rsidR="7B7B4A0A">
        <w:t xml:space="preserve"> the policy. </w:t>
      </w:r>
    </w:p>
    <w:p w14:paraId="0C878479" w14:textId="3316EFD3" w:rsidR="0AA303E8" w:rsidRPr="009949CD" w:rsidRDefault="0AA303E8" w:rsidP="234E5A80">
      <w:pPr>
        <w:rPr>
          <w:color w:val="000000" w:themeColor="text1"/>
        </w:rPr>
      </w:pPr>
      <w:r w:rsidRPr="009949CD">
        <w:rPr>
          <w:color w:val="000000" w:themeColor="text1"/>
        </w:rPr>
        <w:t xml:space="preserve">The direct effects are calculated </w:t>
      </w:r>
      <w:r w:rsidR="18F3CB3D" w:rsidRPr="009949CD">
        <w:rPr>
          <w:color w:val="000000" w:themeColor="text1"/>
        </w:rPr>
        <w:t>using</w:t>
      </w:r>
      <w:r w:rsidRPr="009949CD">
        <w:rPr>
          <w:color w:val="000000" w:themeColor="text1"/>
        </w:rPr>
        <w:t xml:space="preserve"> the </w:t>
      </w:r>
      <w:r w:rsidR="18F3CB3D" w:rsidRPr="009949CD">
        <w:rPr>
          <w:color w:val="000000" w:themeColor="text1"/>
        </w:rPr>
        <w:t xml:space="preserve">Marginal Rates of Substitution obtained from the </w:t>
      </w:r>
      <w:r w:rsidR="0303253C" w:rsidRPr="009949CD">
        <w:rPr>
          <w:color w:val="000000" w:themeColor="text1"/>
        </w:rPr>
        <w:t>discrete choice experiment</w:t>
      </w:r>
      <w:r w:rsidR="0E52D9A6" w:rsidRPr="009949CD">
        <w:rPr>
          <w:color w:val="000000" w:themeColor="text1"/>
        </w:rPr>
        <w:t xml:space="preserve"> in stage 2</w:t>
      </w:r>
      <w:r w:rsidR="18F3CB3D" w:rsidRPr="009949CD">
        <w:rPr>
          <w:color w:val="000000" w:themeColor="text1"/>
        </w:rPr>
        <w:t xml:space="preserve">. Specifically, the DCE </w:t>
      </w:r>
      <w:r w:rsidR="528F9B39" w:rsidRPr="009949CD">
        <w:rPr>
          <w:color w:val="000000" w:themeColor="text1"/>
        </w:rPr>
        <w:t>quantifies how respondents would re‐allocate funds they would otherwise have gambled</w:t>
      </w:r>
      <w:r w:rsidR="5D23AF13" w:rsidRPr="009949CD">
        <w:rPr>
          <w:color w:val="000000" w:themeColor="text1"/>
        </w:rPr>
        <w:t xml:space="preserve">. Since the DCE </w:t>
      </w:r>
      <w:r w:rsidR="022B8025" w:rsidRPr="009949CD">
        <w:rPr>
          <w:color w:val="000000" w:themeColor="text1"/>
        </w:rPr>
        <w:t>model coefficients arise from a logarithmic specification, these relative weights may be scaled to the aggregate size of the gambling sector. Consequently, the “direct effect” for each industry simply corresponds to the share of total foregone gambling expenditure re‐directed into that industry.</w:t>
      </w:r>
    </w:p>
    <w:p w14:paraId="7184EBCF" w14:textId="0590FC41" w:rsidR="73A57B33" w:rsidRPr="009949CD" w:rsidRDefault="73A57B33" w:rsidP="7FD57B32">
      <w:pPr>
        <w:rPr>
          <w:color w:val="000000" w:themeColor="text1"/>
        </w:rPr>
      </w:pPr>
      <w:r w:rsidRPr="009949CD">
        <w:rPr>
          <w:color w:val="000000" w:themeColor="text1"/>
        </w:rPr>
        <w:t>The sectoral disaggregation is sufficient to obtain</w:t>
      </w:r>
      <w:r w:rsidR="0100E625" w:rsidRPr="009949CD">
        <w:rPr>
          <w:color w:val="000000" w:themeColor="text1"/>
        </w:rPr>
        <w:t xml:space="preserve"> the </w:t>
      </w:r>
      <w:r w:rsidRPr="009949CD">
        <w:rPr>
          <w:color w:val="000000" w:themeColor="text1"/>
        </w:rPr>
        <w:t>direct effects</w:t>
      </w:r>
      <w:r w:rsidR="665CD920" w:rsidRPr="009949CD">
        <w:rPr>
          <w:color w:val="000000" w:themeColor="text1"/>
        </w:rPr>
        <w:t xml:space="preserve"> of the expenditure shift</w:t>
      </w:r>
      <w:r w:rsidRPr="009949CD">
        <w:rPr>
          <w:color w:val="000000" w:themeColor="text1"/>
        </w:rPr>
        <w:t xml:space="preserve">; however, </w:t>
      </w:r>
      <w:r w:rsidR="50B81806" w:rsidRPr="009949CD">
        <w:rPr>
          <w:color w:val="000000" w:themeColor="text1"/>
        </w:rPr>
        <w:t>it omits</w:t>
      </w:r>
      <w:r w:rsidRPr="009949CD">
        <w:rPr>
          <w:color w:val="000000" w:themeColor="text1"/>
        </w:rPr>
        <w:t xml:space="preserve"> </w:t>
      </w:r>
      <w:r w:rsidR="21D48B04" w:rsidRPr="009949CD">
        <w:rPr>
          <w:color w:val="000000" w:themeColor="text1"/>
        </w:rPr>
        <w:t xml:space="preserve">inter-industry linkages that arise through supply chains. </w:t>
      </w:r>
      <w:r w:rsidR="1036C3E0" w:rsidRPr="009949CD">
        <w:rPr>
          <w:color w:val="000000" w:themeColor="text1"/>
        </w:rPr>
        <w:t xml:space="preserve">To obtain macroeconomic impacts of the </w:t>
      </w:r>
      <w:r w:rsidR="1036C3E0" w:rsidRPr="002859FC">
        <w:rPr>
          <w:color w:val="212121"/>
        </w:rPr>
        <w:t xml:space="preserve">gambling budget reallocation one needs to account for these inter-industry effects. </w:t>
      </w:r>
      <w:r w:rsidR="7A714A4A" w:rsidRPr="002859FC">
        <w:rPr>
          <w:color w:val="212121"/>
        </w:rPr>
        <w:t xml:space="preserve">To </w:t>
      </w:r>
      <w:r w:rsidR="5CF232C3" w:rsidRPr="002859FC">
        <w:rPr>
          <w:color w:val="212121"/>
        </w:rPr>
        <w:t>this end</w:t>
      </w:r>
      <w:r w:rsidR="7A714A4A" w:rsidRPr="002859FC">
        <w:rPr>
          <w:color w:val="212121"/>
        </w:rPr>
        <w:t xml:space="preserve">, we will </w:t>
      </w:r>
      <w:r w:rsidR="00BB22CD" w:rsidRPr="002859FC">
        <w:rPr>
          <w:color w:val="212121"/>
        </w:rPr>
        <w:t xml:space="preserve">first of all </w:t>
      </w:r>
      <w:r w:rsidR="7A714A4A" w:rsidRPr="002859FC">
        <w:rPr>
          <w:color w:val="212121"/>
        </w:rPr>
        <w:t xml:space="preserve">utilise </w:t>
      </w:r>
      <w:r w:rsidR="00BB22CD" w:rsidRPr="002859FC">
        <w:rPr>
          <w:color w:val="212121"/>
        </w:rPr>
        <w:t xml:space="preserve">an </w:t>
      </w:r>
      <w:r w:rsidR="7A714A4A" w:rsidRPr="002859FC">
        <w:rPr>
          <w:color w:val="212121"/>
        </w:rPr>
        <w:t xml:space="preserve">Input Output </w:t>
      </w:r>
      <w:r w:rsidR="5CEACB68" w:rsidRPr="002859FC">
        <w:rPr>
          <w:color w:val="212121"/>
        </w:rPr>
        <w:t>framework</w:t>
      </w:r>
      <w:r w:rsidR="2E67CA68" w:rsidRPr="002859FC">
        <w:rPr>
          <w:color w:val="212121"/>
        </w:rPr>
        <w:t xml:space="preserve">. </w:t>
      </w:r>
      <w:r w:rsidR="009949CD" w:rsidRPr="002859FC">
        <w:rPr>
          <w:color w:val="212121"/>
        </w:rPr>
        <w:t xml:space="preserve">This framework is the standard approach for industry ‘impact’ studies such as looking at the reduction of alcohol consumption on the UK economy (Connolly, 2019). </w:t>
      </w:r>
      <w:r w:rsidR="03AEC3C9" w:rsidRPr="002859FC">
        <w:rPr>
          <w:color w:val="212121"/>
        </w:rPr>
        <w:t>Specifically,</w:t>
      </w:r>
      <w:r w:rsidR="2E67CA68" w:rsidRPr="002859FC">
        <w:rPr>
          <w:color w:val="212121"/>
        </w:rPr>
        <w:t xml:space="preserve"> we will use the multipliers from latest UK input‐output analytical tables.</w:t>
      </w:r>
      <w:r w:rsidR="3D046885" w:rsidRPr="002859FC">
        <w:rPr>
          <w:color w:val="212121"/>
        </w:rPr>
        <w:t xml:space="preserve"> Each direct effect is multiplied by its corresponding output multiplier, yielding an estimate of total (direct + indirect + induced) impact by sector. For consistency, the foregone expenditure in the gambling sector </w:t>
      </w:r>
      <w:r w:rsidR="3D046885" w:rsidRPr="009949CD">
        <w:rPr>
          <w:color w:val="000000" w:themeColor="text1"/>
        </w:rPr>
        <w:t>itself is also multiplied by its own multiplier, thereby permitting an assessment of net macroeconomic change.</w:t>
      </w:r>
    </w:p>
    <w:p w14:paraId="31243DB2" w14:textId="60AAA18E" w:rsidR="000F5F07" w:rsidRPr="000F5F07" w:rsidRDefault="6112BCF1" w:rsidP="7FD57B32">
      <w:pPr>
        <w:rPr>
          <w:color w:val="FF0000"/>
        </w:rPr>
      </w:pPr>
      <w:r w:rsidRPr="009949CD">
        <w:rPr>
          <w:color w:val="000000" w:themeColor="text1"/>
        </w:rPr>
        <w:t xml:space="preserve">The Input Output </w:t>
      </w:r>
      <w:r w:rsidR="72ABB63D" w:rsidRPr="009949CD">
        <w:rPr>
          <w:color w:val="000000" w:themeColor="text1"/>
        </w:rPr>
        <w:t>framework provides a transparent, static approximation of the economy-wide repercussions of budget reallocations</w:t>
      </w:r>
      <w:r w:rsidR="23DE3051" w:rsidRPr="009949CD">
        <w:rPr>
          <w:color w:val="000000" w:themeColor="text1"/>
        </w:rPr>
        <w:t>; however,</w:t>
      </w:r>
      <w:r w:rsidR="72ABB63D" w:rsidRPr="009949CD">
        <w:rPr>
          <w:color w:val="000000" w:themeColor="text1"/>
        </w:rPr>
        <w:t xml:space="preserve"> they treat savings simply as a leakage, i.e. savings have no indirect</w:t>
      </w:r>
      <w:r w:rsidR="1A7F9082" w:rsidRPr="009949CD">
        <w:rPr>
          <w:color w:val="000000" w:themeColor="text1"/>
        </w:rPr>
        <w:t xml:space="preserve"> </w:t>
      </w:r>
      <w:r w:rsidR="72ABB63D" w:rsidRPr="009949CD">
        <w:rPr>
          <w:color w:val="000000" w:themeColor="text1"/>
        </w:rPr>
        <w:t xml:space="preserve">effects. </w:t>
      </w:r>
      <w:r w:rsidRPr="009949CD">
        <w:rPr>
          <w:color w:val="000000" w:themeColor="text1"/>
        </w:rPr>
        <w:t xml:space="preserve">While in a static view this is valid, </w:t>
      </w:r>
      <w:r w:rsidR="5E9FE07F" w:rsidRPr="009949CD">
        <w:rPr>
          <w:color w:val="000000" w:themeColor="text1"/>
        </w:rPr>
        <w:t xml:space="preserve">these </w:t>
      </w:r>
      <w:r w:rsidR="6348A705" w:rsidRPr="009949CD">
        <w:rPr>
          <w:color w:val="000000" w:themeColor="text1"/>
        </w:rPr>
        <w:t>savings are</w:t>
      </w:r>
      <w:r w:rsidR="77901F21" w:rsidRPr="009949CD">
        <w:rPr>
          <w:color w:val="000000" w:themeColor="text1"/>
        </w:rPr>
        <w:t xml:space="preserve"> eventually</w:t>
      </w:r>
      <w:r w:rsidR="6348A705" w:rsidRPr="009949CD">
        <w:rPr>
          <w:color w:val="000000" w:themeColor="text1"/>
        </w:rPr>
        <w:t xml:space="preserve"> reinvested in the economy by the financial </w:t>
      </w:r>
      <w:r w:rsidR="5C81CC75" w:rsidRPr="009949CD">
        <w:rPr>
          <w:color w:val="000000" w:themeColor="text1"/>
        </w:rPr>
        <w:t>intermediaries</w:t>
      </w:r>
      <w:r w:rsidR="6348A705" w:rsidRPr="009949CD">
        <w:rPr>
          <w:color w:val="000000" w:themeColor="text1"/>
        </w:rPr>
        <w:t xml:space="preserve">. </w:t>
      </w:r>
      <w:r w:rsidR="6FED626C" w:rsidRPr="009949CD">
        <w:rPr>
          <w:color w:val="000000" w:themeColor="text1"/>
        </w:rPr>
        <w:t>To capture these dynamic effects</w:t>
      </w:r>
      <w:r w:rsidR="6348A705" w:rsidRPr="009949CD">
        <w:rPr>
          <w:color w:val="000000" w:themeColor="text1"/>
        </w:rPr>
        <w:t>, the final macroeconomic model we use is</w:t>
      </w:r>
      <w:r w:rsidR="6348A705" w:rsidRPr="7FD57B32">
        <w:rPr>
          <w:color w:val="FF0000"/>
        </w:rPr>
        <w:t xml:space="preserve"> </w:t>
      </w:r>
      <w:r w:rsidR="7B7B4A0A">
        <w:t xml:space="preserve">the National Institute’s </w:t>
      </w:r>
      <w:r w:rsidR="1C6D6842">
        <w:t>large-scale macro-econometric model NiGEM</w:t>
      </w:r>
      <w:r w:rsidR="009949CD">
        <w:t xml:space="preserve"> </w:t>
      </w:r>
      <w:r w:rsidR="009949CD" w:rsidRPr="009949CD">
        <w:t>(National Institute Global Econometric Model)</w:t>
      </w:r>
      <w:r w:rsidR="1C6D6842" w:rsidRPr="009949CD">
        <w:t>,</w:t>
      </w:r>
      <w:r w:rsidR="1C6D6842">
        <w:t xml:space="preserve"> which is considered to be </w:t>
      </w:r>
      <w:r w:rsidR="695590EC">
        <w:t>the leading macro model for forecasting and policy simulation</w:t>
      </w:r>
      <w:r w:rsidR="7B7B4A0A">
        <w:t>. This model provide</w:t>
      </w:r>
      <w:r w:rsidR="25F3BC94">
        <w:t>s</w:t>
      </w:r>
      <w:r w:rsidR="7B7B4A0A">
        <w:t xml:space="preserve"> a detailed description of the economy that captures the key interlinkages between the private sector, households, government, </w:t>
      </w:r>
      <w:hyperlink r:id="rId13">
        <w:r w:rsidR="7B7B4A0A">
          <w:t>international trade</w:t>
        </w:r>
      </w:hyperlink>
      <w:r w:rsidR="7B7B4A0A">
        <w:t> and the labour market. Such a model allows for extensive simulation of the impact of a wide range of policy interventions. The model is initially assumed to be in steady-state equilibrium, implying that, with no exogenous disturbance, the model simply replicates the current structure of the UK economy. Once properly specified and data inputted, it is possible to ‘shock’ the model and simulate the subsequent economic effects</w:t>
      </w:r>
      <w:r w:rsidR="089F7B5A">
        <w:t xml:space="preserve"> (at both an aggregate and sector-specific level)</w:t>
      </w:r>
      <w:r w:rsidR="7B7B4A0A">
        <w:t xml:space="preserve">. In the context of our modelling, the shock can be calibrated by the changes in household expenditure identified in Stages 1 and 2, suitably aggregated to be representative of the population overall. </w:t>
      </w:r>
      <w:r w:rsidR="087BF2E2">
        <w:t xml:space="preserve">Alternatively, we can allow for heterogenous agents by using </w:t>
      </w:r>
      <w:r w:rsidR="4D924099">
        <w:t xml:space="preserve">NiReMS – </w:t>
      </w:r>
      <w:r w:rsidR="087BF2E2">
        <w:t xml:space="preserve">NIESR’s </w:t>
      </w:r>
      <w:r w:rsidR="4D924099">
        <w:t xml:space="preserve">integration of a regional macro model (aligned to NiGEM) with </w:t>
      </w:r>
      <w:r w:rsidR="087BF2E2">
        <w:t xml:space="preserve">dynamic microsimulation </w:t>
      </w:r>
      <w:r w:rsidR="4D924099">
        <w:t>(Bhattacharjee et al., 2024).</w:t>
      </w:r>
      <w:r w:rsidR="087BF2E2">
        <w:t xml:space="preserve"> </w:t>
      </w:r>
      <w:r w:rsidR="089F7B5A">
        <w:t xml:space="preserve">It is then possible to compare the pre-shock economic outcomes with the post-shock economic outcomes to assess for any ‘net effects’. </w:t>
      </w:r>
    </w:p>
    <w:p w14:paraId="6ABD47BD" w14:textId="44043C6B" w:rsidR="000F5F07" w:rsidRPr="006124DE" w:rsidRDefault="006124DE" w:rsidP="1CE769A4">
      <w:r>
        <w:t xml:space="preserve">To aggregate our findings in Stage 1 and 2, we present a range of different scenarios. </w:t>
      </w:r>
    </w:p>
    <w:p w14:paraId="3C72669A" w14:textId="0AC46380" w:rsidR="006124DE" w:rsidRPr="006124DE" w:rsidRDefault="006124DE" w:rsidP="1CE769A4">
      <w:r w:rsidRPr="006124DE">
        <w:t>Our first scenario</w:t>
      </w:r>
      <w:r>
        <w:t xml:space="preserve"> simply assumes that any reduction in gambling</w:t>
      </w:r>
      <w:r w:rsidR="00A00AE7">
        <w:t xml:space="preserve"> spending</w:t>
      </w:r>
      <w:r w:rsidR="00752314">
        <w:t>,</w:t>
      </w:r>
      <w:r>
        <w:t xml:space="preserve"> as a result of the policy change</w:t>
      </w:r>
      <w:r w:rsidR="00752314">
        <w:t>,</w:t>
      </w:r>
      <w:r>
        <w:t xml:space="preserve"> </w:t>
      </w:r>
      <w:r w:rsidR="00A00AE7">
        <w:t xml:space="preserve">identified in Stages 1 and 2 </w:t>
      </w:r>
      <w:r>
        <w:t xml:space="preserve">is </w:t>
      </w:r>
      <w:r w:rsidR="00752314">
        <w:t>‘lost’</w:t>
      </w:r>
      <w:r>
        <w:t xml:space="preserve"> from the economy (or, in effect, saved). This would be equivalent to estimating the ‘gross’ effects of </w:t>
      </w:r>
      <w:r w:rsidR="00D14387">
        <w:t>any</w:t>
      </w:r>
      <w:r>
        <w:t xml:space="preserve"> policy change. This provides a useful benchmark to assess the scale of potential </w:t>
      </w:r>
      <w:r w:rsidR="00752314">
        <w:t xml:space="preserve">negative impact </w:t>
      </w:r>
      <w:r>
        <w:t xml:space="preserve">from reducing spending on gambling </w:t>
      </w:r>
      <w:r w:rsidR="00752314">
        <w:t>relative to t</w:t>
      </w:r>
      <w:r>
        <w:t xml:space="preserve">he overall economy. </w:t>
      </w:r>
    </w:p>
    <w:p w14:paraId="15AEE83C" w14:textId="0FC66ED5" w:rsidR="006124DE" w:rsidRPr="006124DE" w:rsidRDefault="006124DE" w:rsidP="1CE769A4">
      <w:r>
        <w:lastRenderedPageBreak/>
        <w:t xml:space="preserve">However, a shift in spending from gambling would normally imply </w:t>
      </w:r>
      <w:r w:rsidR="00752314">
        <w:t>– at least – some s</w:t>
      </w:r>
      <w:r>
        <w:t xml:space="preserve">hift in favour of the consumption of other goods and services. </w:t>
      </w:r>
      <w:r w:rsidR="00A00AE7">
        <w:t xml:space="preserve">This is what our </w:t>
      </w:r>
      <w:r w:rsidR="00707A0C">
        <w:t xml:space="preserve">initial </w:t>
      </w:r>
      <w:r w:rsidR="00A00AE7">
        <w:t xml:space="preserve">analysis in Stages 1 and 2 shows. </w:t>
      </w:r>
      <w:r>
        <w:t xml:space="preserve">It is the ‘net’ impact of this switch in consumer spending that governs the overall impact on the economy. </w:t>
      </w:r>
      <w:r w:rsidR="00752314">
        <w:t>In a second scenario, t</w:t>
      </w:r>
      <w:r>
        <w:t>he consumption response to a change in gambling</w:t>
      </w:r>
      <w:r w:rsidR="00752314">
        <w:t xml:space="preserve"> will draw upon the cross-</w:t>
      </w:r>
      <w:r>
        <w:t>elasticities</w:t>
      </w:r>
      <w:r w:rsidR="00752314">
        <w:t xml:space="preserve"> estimated in Stages 1 and 2 above. The survey group represents around 1/3 of all consumers in the UK</w:t>
      </w:r>
      <w:r w:rsidR="00B26CE1">
        <w:t>, and our household model tracks each individual consumer within the households</w:t>
      </w:r>
      <w:r w:rsidR="00752314">
        <w:t xml:space="preserve">. We will therefore scale the consumption changes </w:t>
      </w:r>
      <w:r w:rsidR="00B26CE1">
        <w:t xml:space="preserve">in our representative sample to the </w:t>
      </w:r>
      <w:r w:rsidR="00752314">
        <w:t>aggregate</w:t>
      </w:r>
      <w:r w:rsidR="00B26CE1">
        <w:t xml:space="preserve"> level</w:t>
      </w:r>
      <w:r w:rsidR="00752314">
        <w:t>, w</w:t>
      </w:r>
      <w:r w:rsidR="00B26CE1">
        <w:t>here</w:t>
      </w:r>
      <w:r w:rsidR="00752314">
        <w:t xml:space="preserve"> the consumers </w:t>
      </w:r>
      <w:r w:rsidR="00B26CE1">
        <w:t xml:space="preserve">not represented by our survey will remain </w:t>
      </w:r>
      <w:r w:rsidR="00752314">
        <w:t xml:space="preserve">unaffected. For sensitivity analysis, we can apply different ratios to the size of consumer base in the UK to highlight how the results might change. </w:t>
      </w:r>
    </w:p>
    <w:p w14:paraId="6F9F4E48" w14:textId="55E8251F" w:rsidR="00C744F1" w:rsidRDefault="00C744F1" w:rsidP="1CE769A4">
      <w:pPr>
        <w:spacing w:after="240"/>
      </w:pPr>
      <w:r>
        <w:t xml:space="preserve">The </w:t>
      </w:r>
      <w:r w:rsidR="0050027E" w:rsidDel="000F5F07">
        <w:t>macroeconomic estimate</w:t>
      </w:r>
      <w:r w:rsidR="00C34383" w:rsidDel="000F5F07">
        <w:t>s</w:t>
      </w:r>
      <w:r w:rsidR="0050027E" w:rsidDel="000F5F07">
        <w:t xml:space="preserve"> </w:t>
      </w:r>
      <w:r w:rsidR="000B68F4">
        <w:t xml:space="preserve">in </w:t>
      </w:r>
      <w:r w:rsidDel="00752314">
        <w:t xml:space="preserve">scenario </w:t>
      </w:r>
      <w:r w:rsidR="000B68F4">
        <w:t xml:space="preserve">2 </w:t>
      </w:r>
      <w:r w:rsidR="00A00AE7">
        <w:t xml:space="preserve">will then </w:t>
      </w:r>
      <w:r>
        <w:t xml:space="preserve">hinge on the relative </w:t>
      </w:r>
      <w:r w:rsidR="00752314">
        <w:t xml:space="preserve">multiplier effects </w:t>
      </w:r>
      <w:r>
        <w:t xml:space="preserve">of sectors other than gambling when allocated additional </w:t>
      </w:r>
      <w:r w:rsidDel="00752314">
        <w:t>resources</w:t>
      </w:r>
      <w:r>
        <w:t>.</w:t>
      </w:r>
      <w:r w:rsidR="005B3029">
        <w:t xml:space="preserve"> </w:t>
      </w:r>
      <w:r w:rsidR="00752314">
        <w:t xml:space="preserve">If consumption is switched to sectors with higher demand-side multipliers </w:t>
      </w:r>
      <w:r>
        <w:t xml:space="preserve">than the gambling sector, </w:t>
      </w:r>
      <w:r w:rsidR="00752314">
        <w:t xml:space="preserve">the overall effect on the economy is likely to be positive (and vice versa). </w:t>
      </w:r>
      <w:r>
        <w:t>Conversely, if these sectors are less efficient, the economic outcome</w:t>
      </w:r>
      <w:r w:rsidR="00F2494A">
        <w:t xml:space="preserve"> in terms of GDP</w:t>
      </w:r>
      <w:r>
        <w:t xml:space="preserve"> will likely be negative.</w:t>
      </w:r>
    </w:p>
    <w:p w14:paraId="25841D0F" w14:textId="43837FE8" w:rsidR="009949CD" w:rsidRDefault="009949CD" w:rsidP="009949CD">
      <w:pPr>
        <w:spacing w:after="240"/>
        <w:rPr>
          <w:color w:val="212121"/>
        </w:rPr>
      </w:pPr>
      <w:r w:rsidRPr="00F21CB7">
        <w:rPr>
          <w:color w:val="212121"/>
        </w:rPr>
        <w:t>In summary</w:t>
      </w:r>
      <w:r w:rsidR="00B26CE1" w:rsidRPr="00F21CB7">
        <w:rPr>
          <w:color w:val="212121"/>
        </w:rPr>
        <w:t>,</w:t>
      </w:r>
      <w:r w:rsidRPr="00F21CB7">
        <w:rPr>
          <w:color w:val="212121"/>
        </w:rPr>
        <w:t xml:space="preserve"> </w:t>
      </w:r>
      <w:r w:rsidR="00B26CE1" w:rsidRPr="00F21CB7">
        <w:rPr>
          <w:color w:val="212121"/>
        </w:rPr>
        <w:t xml:space="preserve">our </w:t>
      </w:r>
      <w:r w:rsidRPr="00F21CB7">
        <w:rPr>
          <w:color w:val="212121"/>
        </w:rPr>
        <w:t xml:space="preserve">macroeconomic modelling </w:t>
      </w:r>
      <w:r w:rsidR="00B26CE1" w:rsidRPr="00F21CB7">
        <w:rPr>
          <w:color w:val="212121"/>
        </w:rPr>
        <w:t>will have</w:t>
      </w:r>
      <w:r w:rsidRPr="00F21CB7">
        <w:rPr>
          <w:color w:val="212121"/>
        </w:rPr>
        <w:t xml:space="preserve"> three stages. First, we </w:t>
      </w:r>
      <w:r w:rsidR="00B26CE1" w:rsidRPr="00F21CB7">
        <w:rPr>
          <w:color w:val="212121"/>
        </w:rPr>
        <w:t xml:space="preserve">will </w:t>
      </w:r>
      <w:r w:rsidRPr="00F21CB7">
        <w:rPr>
          <w:color w:val="212121"/>
        </w:rPr>
        <w:t xml:space="preserve">translate the shifts in household gambling expenditure derived from the DCE into sector-specific ‘direct-effects’. </w:t>
      </w:r>
      <w:r w:rsidR="00B26CE1" w:rsidRPr="00F21CB7">
        <w:rPr>
          <w:color w:val="212121"/>
        </w:rPr>
        <w:t>In the s</w:t>
      </w:r>
      <w:r w:rsidRPr="00F21CB7">
        <w:rPr>
          <w:color w:val="212121"/>
        </w:rPr>
        <w:t>econd</w:t>
      </w:r>
      <w:r w:rsidR="00B26CE1" w:rsidRPr="00F21CB7">
        <w:rPr>
          <w:color w:val="212121"/>
        </w:rPr>
        <w:t xml:space="preserve"> stage</w:t>
      </w:r>
      <w:r w:rsidRPr="00F21CB7">
        <w:rPr>
          <w:color w:val="212121"/>
        </w:rPr>
        <w:t xml:space="preserve">, we </w:t>
      </w:r>
      <w:r w:rsidR="00B26CE1" w:rsidRPr="00F21CB7">
        <w:rPr>
          <w:color w:val="212121"/>
        </w:rPr>
        <w:t xml:space="preserve">will </w:t>
      </w:r>
      <w:r w:rsidRPr="00F21CB7">
        <w:rPr>
          <w:color w:val="212121"/>
        </w:rPr>
        <w:t xml:space="preserve">apply UK input-output multipliers to capture the combined direct, indirect and induced impacts. </w:t>
      </w:r>
      <w:r w:rsidR="00B26CE1" w:rsidRPr="00F21CB7">
        <w:rPr>
          <w:color w:val="212121"/>
        </w:rPr>
        <w:t>In the f</w:t>
      </w:r>
      <w:r w:rsidRPr="00F21CB7">
        <w:rPr>
          <w:color w:val="212121"/>
        </w:rPr>
        <w:t>inal</w:t>
      </w:r>
      <w:r w:rsidR="00B26CE1" w:rsidRPr="00F21CB7">
        <w:rPr>
          <w:color w:val="212121"/>
        </w:rPr>
        <w:t xml:space="preserve"> stage</w:t>
      </w:r>
      <w:r w:rsidRPr="00F21CB7">
        <w:rPr>
          <w:color w:val="212121"/>
        </w:rPr>
        <w:t xml:space="preserve">, we </w:t>
      </w:r>
      <w:r w:rsidR="00B26CE1" w:rsidRPr="00F21CB7">
        <w:rPr>
          <w:color w:val="212121"/>
        </w:rPr>
        <w:t xml:space="preserve">will </w:t>
      </w:r>
      <w:r w:rsidRPr="00F21CB7">
        <w:rPr>
          <w:color w:val="212121"/>
        </w:rPr>
        <w:t xml:space="preserve">embed these shocks in NIESR’s </w:t>
      </w:r>
      <w:r w:rsidR="00B26CE1" w:rsidRPr="00F21CB7">
        <w:rPr>
          <w:color w:val="212121"/>
        </w:rPr>
        <w:t xml:space="preserve">global macroeconometric model </w:t>
      </w:r>
      <w:r w:rsidRPr="00F21CB7">
        <w:rPr>
          <w:color w:val="212121"/>
        </w:rPr>
        <w:t>NiGEM in order to model the dynamic impacts of these sector-specific shocks and simulate pre- and post-policy macroeconomic outcomes under different scenarios.</w:t>
      </w:r>
    </w:p>
    <w:p w14:paraId="44BB1309" w14:textId="77777777" w:rsidR="00F21CB7" w:rsidRDefault="00F21CB7" w:rsidP="009949CD">
      <w:pPr>
        <w:spacing w:after="240"/>
        <w:rPr>
          <w:color w:val="212121"/>
        </w:rPr>
      </w:pPr>
    </w:p>
    <w:p w14:paraId="4C32F027" w14:textId="42C38B4F" w:rsidR="00F21CB7" w:rsidRPr="002859FC" w:rsidRDefault="00F21CB7" w:rsidP="002859FC">
      <w:pPr>
        <w:pStyle w:val="Heading2"/>
        <w:rPr>
          <w:color w:val="212121"/>
        </w:rPr>
      </w:pPr>
      <w:r w:rsidRPr="002859FC">
        <w:rPr>
          <w:color w:val="212121"/>
        </w:rPr>
        <w:t>Summary</w:t>
      </w:r>
    </w:p>
    <w:p w14:paraId="1A60BE51" w14:textId="3EEEAEEA" w:rsidR="00F21CB7" w:rsidRPr="00F21CB7" w:rsidRDefault="00F21CB7" w:rsidP="009949CD">
      <w:pPr>
        <w:spacing w:after="240"/>
        <w:rPr>
          <w:b/>
          <w:bCs/>
          <w:color w:val="212121"/>
        </w:rPr>
      </w:pPr>
      <w:r>
        <w:rPr>
          <w:color w:val="212121"/>
        </w:rPr>
        <w:t xml:space="preserve">Our project represents a novel design whereby stated consumption preferences from those who regularly gamble are used to estimate the likely impact of reduced gambling consumption upon the macro-economy. In doing so, this study fills an important evidence gap, by using empirically generated data from people who regularly gamble, rather than broad assumptions, to model demand-side changes to the macro economy as a result of changing gambling regulation. </w:t>
      </w:r>
    </w:p>
    <w:p w14:paraId="262CF41A" w14:textId="77777777" w:rsidR="009949CD" w:rsidRDefault="009949CD" w:rsidP="1CE769A4">
      <w:pPr>
        <w:spacing w:after="240"/>
      </w:pPr>
    </w:p>
    <w:p w14:paraId="08F57149" w14:textId="49155673" w:rsidR="00E80AAA" w:rsidRDefault="00752314" w:rsidP="00C744F1">
      <w:r>
        <w:br w:type="page"/>
      </w:r>
    </w:p>
    <w:p w14:paraId="69374BE1" w14:textId="68A353F0" w:rsidR="00C744F1" w:rsidRPr="008963BC" w:rsidRDefault="00C744F1" w:rsidP="00C744F1">
      <w:pPr>
        <w:rPr>
          <w:b/>
          <w:bCs/>
        </w:rPr>
      </w:pPr>
      <w:r w:rsidRPr="008963BC">
        <w:rPr>
          <w:b/>
          <w:bCs/>
        </w:rPr>
        <w:lastRenderedPageBreak/>
        <w:t>References:</w:t>
      </w:r>
    </w:p>
    <w:p w14:paraId="0966E736" w14:textId="7B4C3175" w:rsidR="00C744F1" w:rsidRPr="005F3E2A" w:rsidRDefault="0060272A" w:rsidP="00C744F1">
      <w:pPr>
        <w:rPr>
          <w:rStyle w:val="cf01"/>
          <w:rFonts w:asciiTheme="minorHAnsi" w:hAnsiTheme="minorHAnsi" w:cstheme="minorBidi"/>
          <w:sz w:val="22"/>
          <w:szCs w:val="22"/>
        </w:rPr>
      </w:pPr>
      <w:r w:rsidRPr="1CE769A4">
        <w:rPr>
          <w:rStyle w:val="cf01"/>
          <w:rFonts w:asciiTheme="minorHAnsi" w:hAnsiTheme="minorHAnsi" w:cstheme="minorBidi"/>
          <w:sz w:val="22"/>
          <w:szCs w:val="22"/>
        </w:rPr>
        <w:t>BGC</w:t>
      </w:r>
      <w:r w:rsidR="00C744F1" w:rsidRPr="1CE769A4">
        <w:rPr>
          <w:rStyle w:val="cf01"/>
          <w:rFonts w:asciiTheme="minorHAnsi" w:hAnsiTheme="minorHAnsi" w:cstheme="minorBidi"/>
          <w:sz w:val="22"/>
          <w:szCs w:val="22"/>
        </w:rPr>
        <w:t xml:space="preserve"> (2022)</w:t>
      </w:r>
      <w:r w:rsidR="001473AC" w:rsidRPr="1CE769A4">
        <w:rPr>
          <w:rStyle w:val="cf01"/>
          <w:rFonts w:asciiTheme="minorHAnsi" w:hAnsiTheme="minorHAnsi" w:cstheme="minorBidi"/>
          <w:sz w:val="22"/>
          <w:szCs w:val="22"/>
        </w:rPr>
        <w:t>,</w:t>
      </w:r>
      <w:r w:rsidR="00C744F1" w:rsidRPr="1CE769A4">
        <w:rPr>
          <w:rStyle w:val="cf01"/>
          <w:rFonts w:asciiTheme="minorHAnsi" w:hAnsiTheme="minorHAnsi" w:cstheme="minorBidi"/>
          <w:sz w:val="22"/>
          <w:szCs w:val="22"/>
        </w:rPr>
        <w:t xml:space="preserve"> </w:t>
      </w:r>
      <w:r w:rsidR="00C744F1" w:rsidRPr="1CE769A4">
        <w:rPr>
          <w:rStyle w:val="cf01"/>
          <w:rFonts w:asciiTheme="minorHAnsi" w:hAnsiTheme="minorHAnsi" w:cstheme="minorBidi"/>
          <w:i/>
          <w:iCs/>
          <w:sz w:val="22"/>
          <w:szCs w:val="22"/>
        </w:rPr>
        <w:t>The economic contribution of the betting and gaming sector: 2021-22</w:t>
      </w:r>
      <w:r w:rsidRPr="1CE769A4">
        <w:rPr>
          <w:rStyle w:val="cf01"/>
          <w:rFonts w:asciiTheme="minorHAnsi" w:hAnsiTheme="minorHAnsi" w:cstheme="minorBidi"/>
          <w:sz w:val="22"/>
          <w:szCs w:val="22"/>
        </w:rPr>
        <w:t>, Betting and Gaming Council,</w:t>
      </w:r>
      <w:r w:rsidR="00C744F1" w:rsidRPr="1CE769A4">
        <w:rPr>
          <w:rStyle w:val="cf01"/>
          <w:rFonts w:asciiTheme="minorHAnsi" w:hAnsiTheme="minorHAnsi" w:cstheme="minorBidi"/>
          <w:sz w:val="22"/>
          <w:szCs w:val="22"/>
        </w:rPr>
        <w:t xml:space="preserve"> </w:t>
      </w:r>
      <w:r w:rsidRPr="1CE769A4">
        <w:rPr>
          <w:rStyle w:val="cf01"/>
          <w:rFonts w:asciiTheme="minorHAnsi" w:hAnsiTheme="minorHAnsi" w:cstheme="minorBidi"/>
          <w:sz w:val="22"/>
          <w:szCs w:val="22"/>
        </w:rPr>
        <w:t>a</w:t>
      </w:r>
      <w:r w:rsidR="00C744F1" w:rsidRPr="1CE769A4">
        <w:rPr>
          <w:rStyle w:val="cf01"/>
          <w:rFonts w:asciiTheme="minorHAnsi" w:hAnsiTheme="minorHAnsi" w:cstheme="minorBidi"/>
          <w:sz w:val="22"/>
          <w:szCs w:val="22"/>
        </w:rPr>
        <w:t xml:space="preserve">vailable at </w:t>
      </w:r>
      <w:hyperlink r:id="rId14">
        <w:r w:rsidR="001473AC" w:rsidRPr="1CE769A4">
          <w:rPr>
            <w:rStyle w:val="Hyperlink"/>
          </w:rPr>
          <w:t>https://bettingandgamingcouncil.com/uploads/FINAL-BGC-Economic-Contribution-Report-22.pdf</w:t>
        </w:r>
      </w:hyperlink>
      <w:r w:rsidR="00C744F1" w:rsidRPr="1CE769A4">
        <w:rPr>
          <w:rStyle w:val="cf01"/>
          <w:rFonts w:asciiTheme="minorHAnsi" w:hAnsiTheme="minorHAnsi" w:cstheme="minorBidi"/>
          <w:sz w:val="22"/>
          <w:szCs w:val="22"/>
        </w:rPr>
        <w:t xml:space="preserve"> [Accessed 7 July 2022]</w:t>
      </w:r>
    </w:p>
    <w:p w14:paraId="055E6CEF" w14:textId="33556292" w:rsidR="00707A0C" w:rsidRPr="003F0389" w:rsidRDefault="00707A0C" w:rsidP="00C744F1">
      <w:pPr>
        <w:rPr>
          <w:rStyle w:val="cf01"/>
          <w:rFonts w:asciiTheme="minorHAnsi" w:hAnsiTheme="minorHAnsi" w:cstheme="minorBidi"/>
          <w:color w:val="0070C0"/>
          <w:sz w:val="22"/>
          <w:szCs w:val="22"/>
        </w:rPr>
      </w:pPr>
      <w:r w:rsidRPr="1CE769A4">
        <w:rPr>
          <w:rStyle w:val="cf01"/>
          <w:rFonts w:asciiTheme="minorHAnsi" w:hAnsiTheme="minorHAnsi" w:cstheme="minorBidi"/>
          <w:sz w:val="22"/>
          <w:szCs w:val="22"/>
        </w:rPr>
        <w:t xml:space="preserve">Bhattacharjee, A., Pabst, A., Szendrei, T. &amp; Hewings, G. (2024). NiReMS: A regional model at household level combining spatial econometrics with dynamic microsimulation. </w:t>
      </w:r>
      <w:r w:rsidRPr="1CE769A4">
        <w:rPr>
          <w:rStyle w:val="cf01"/>
          <w:rFonts w:asciiTheme="minorHAnsi" w:hAnsiTheme="minorHAnsi" w:cstheme="minorBidi"/>
          <w:i/>
          <w:iCs/>
          <w:sz w:val="22"/>
          <w:szCs w:val="22"/>
        </w:rPr>
        <w:t>Spatial Economic Analysis</w:t>
      </w:r>
      <w:r w:rsidRPr="1CE769A4">
        <w:rPr>
          <w:rStyle w:val="cf01"/>
          <w:rFonts w:asciiTheme="minorHAnsi" w:hAnsiTheme="minorHAnsi" w:cstheme="minorBidi"/>
          <w:sz w:val="22"/>
          <w:szCs w:val="22"/>
        </w:rPr>
        <w:t xml:space="preserve"> – Special Issue of Spatial Macroeconomics</w:t>
      </w:r>
      <w:r w:rsidR="003F0389">
        <w:rPr>
          <w:rStyle w:val="cf01"/>
          <w:rFonts w:asciiTheme="minorHAnsi" w:hAnsiTheme="minorHAnsi" w:cstheme="minorBidi"/>
          <w:sz w:val="22"/>
          <w:szCs w:val="22"/>
        </w:rPr>
        <w:t xml:space="preserve">, </w:t>
      </w:r>
      <w:r w:rsidR="003F0389" w:rsidRPr="00B82D3C">
        <w:t xml:space="preserve">19(3), 436–461. </w:t>
      </w:r>
      <w:hyperlink r:id="rId15" w:history="1">
        <w:r w:rsidR="003F0389" w:rsidRPr="00B82D3C">
          <w:rPr>
            <w:rStyle w:val="Hyperlink"/>
            <w:color w:val="0070C0"/>
          </w:rPr>
          <w:t>https://doi.org/10.1080/17421772.2024.2333978</w:t>
        </w:r>
      </w:hyperlink>
      <w:r w:rsidR="003F0389" w:rsidRPr="00B82D3C">
        <w:rPr>
          <w:color w:val="0070C0"/>
        </w:rPr>
        <w:t xml:space="preserve"> </w:t>
      </w:r>
    </w:p>
    <w:p w14:paraId="4BC0A861" w14:textId="6C8354F0" w:rsidR="00C744F1" w:rsidRPr="005F3E2A" w:rsidRDefault="00C744F1" w:rsidP="00C744F1">
      <w:pPr>
        <w:rPr>
          <w:rStyle w:val="cf01"/>
          <w:rFonts w:asciiTheme="minorHAnsi" w:hAnsiTheme="minorHAnsi" w:cstheme="minorHAnsi"/>
          <w:sz w:val="22"/>
          <w:szCs w:val="22"/>
        </w:rPr>
      </w:pPr>
      <w:r w:rsidRPr="005F3E2A">
        <w:rPr>
          <w:rStyle w:val="cf01"/>
          <w:rFonts w:asciiTheme="minorHAnsi" w:hAnsiTheme="minorHAnsi" w:cstheme="minorHAnsi"/>
          <w:sz w:val="22"/>
          <w:szCs w:val="22"/>
        </w:rPr>
        <w:t>Caputo, V.</w:t>
      </w:r>
      <w:r w:rsidR="001473AC">
        <w:rPr>
          <w:rStyle w:val="cf01"/>
          <w:rFonts w:asciiTheme="minorHAnsi" w:hAnsiTheme="minorHAnsi" w:cstheme="minorHAnsi"/>
          <w:sz w:val="22"/>
          <w:szCs w:val="22"/>
        </w:rPr>
        <w:t xml:space="preserve"> and</w:t>
      </w:r>
      <w:r w:rsidRPr="005F3E2A">
        <w:rPr>
          <w:rStyle w:val="cf01"/>
          <w:rFonts w:asciiTheme="minorHAnsi" w:hAnsiTheme="minorHAnsi" w:cstheme="minorHAnsi"/>
          <w:sz w:val="22"/>
          <w:szCs w:val="22"/>
        </w:rPr>
        <w:t xml:space="preserve"> Lusk, J. L. (2022)</w:t>
      </w:r>
      <w:r w:rsidR="001473AC">
        <w:rPr>
          <w:rStyle w:val="cf01"/>
          <w:rFonts w:asciiTheme="minorHAnsi" w:hAnsiTheme="minorHAnsi" w:cstheme="minorHAnsi"/>
          <w:sz w:val="22"/>
          <w:szCs w:val="22"/>
        </w:rPr>
        <w:t>,</w:t>
      </w:r>
      <w:r w:rsidRPr="005F3E2A">
        <w:rPr>
          <w:rStyle w:val="cf01"/>
          <w:rFonts w:asciiTheme="minorHAnsi" w:hAnsiTheme="minorHAnsi" w:cstheme="minorHAnsi"/>
          <w:sz w:val="22"/>
          <w:szCs w:val="22"/>
        </w:rPr>
        <w:t xml:space="preserve"> The basket-based choice experiment: a method for food demand policy analysis. </w:t>
      </w:r>
      <w:r w:rsidRPr="005F3E2A">
        <w:rPr>
          <w:rStyle w:val="cf01"/>
          <w:rFonts w:asciiTheme="minorHAnsi" w:hAnsiTheme="minorHAnsi" w:cstheme="minorHAnsi"/>
          <w:i/>
          <w:iCs/>
          <w:sz w:val="22"/>
          <w:szCs w:val="22"/>
        </w:rPr>
        <w:t>Food Policy</w:t>
      </w:r>
      <w:r w:rsidRPr="005F3E2A">
        <w:rPr>
          <w:rStyle w:val="cf01"/>
          <w:rFonts w:asciiTheme="minorHAnsi" w:hAnsiTheme="minorHAnsi" w:cstheme="minorHAnsi"/>
          <w:sz w:val="22"/>
          <w:szCs w:val="22"/>
        </w:rPr>
        <w:t>, 109, 102252.</w:t>
      </w:r>
    </w:p>
    <w:p w14:paraId="35290A83" w14:textId="51FEF977" w:rsidR="009949CD" w:rsidRDefault="00C744F1" w:rsidP="00C744F1">
      <w:pPr>
        <w:rPr>
          <w:rStyle w:val="cf01"/>
          <w:rFonts w:asciiTheme="minorHAnsi" w:hAnsiTheme="minorHAnsi" w:cstheme="minorHAnsi"/>
          <w:sz w:val="22"/>
          <w:szCs w:val="22"/>
        </w:rPr>
      </w:pPr>
      <w:r w:rsidRPr="005F3E2A">
        <w:rPr>
          <w:rStyle w:val="cf01"/>
          <w:rFonts w:asciiTheme="minorHAnsi" w:hAnsiTheme="minorHAnsi" w:cstheme="minorHAnsi"/>
          <w:sz w:val="22"/>
          <w:szCs w:val="22"/>
        </w:rPr>
        <w:t>Cameron, L.</w:t>
      </w:r>
      <w:r w:rsidR="001473AC">
        <w:rPr>
          <w:rStyle w:val="cf01"/>
          <w:rFonts w:asciiTheme="minorHAnsi" w:hAnsiTheme="minorHAnsi" w:cstheme="minorHAnsi"/>
          <w:sz w:val="22"/>
          <w:szCs w:val="22"/>
        </w:rPr>
        <w:t xml:space="preserve"> and</w:t>
      </w:r>
      <w:r w:rsidRPr="005F3E2A">
        <w:rPr>
          <w:rStyle w:val="cf01"/>
          <w:rFonts w:asciiTheme="minorHAnsi" w:hAnsiTheme="minorHAnsi" w:cstheme="minorHAnsi"/>
          <w:sz w:val="22"/>
          <w:szCs w:val="22"/>
        </w:rPr>
        <w:t xml:space="preserve"> Ride, J. (2023). The role of mental health in online gambling decisions: A discrete choice experiment. </w:t>
      </w:r>
      <w:r w:rsidRPr="004459FA">
        <w:rPr>
          <w:rStyle w:val="cf01"/>
          <w:rFonts w:asciiTheme="minorHAnsi" w:hAnsiTheme="minorHAnsi" w:cstheme="minorHAnsi"/>
          <w:i/>
          <w:iCs/>
          <w:sz w:val="22"/>
          <w:szCs w:val="22"/>
        </w:rPr>
        <w:t>Social Science &amp; Medicine</w:t>
      </w:r>
      <w:r w:rsidRPr="005F3E2A">
        <w:rPr>
          <w:rStyle w:val="cf01"/>
          <w:rFonts w:asciiTheme="minorHAnsi" w:hAnsiTheme="minorHAnsi" w:cstheme="minorHAnsi"/>
          <w:sz w:val="22"/>
          <w:szCs w:val="22"/>
        </w:rPr>
        <w:t>, 326, 115885.</w:t>
      </w:r>
    </w:p>
    <w:p w14:paraId="7E8F5BCE" w14:textId="345668A9" w:rsidR="009949CD" w:rsidRPr="005F3E2A" w:rsidRDefault="009949CD" w:rsidP="00C744F1">
      <w:pPr>
        <w:rPr>
          <w:rStyle w:val="cf01"/>
          <w:rFonts w:asciiTheme="minorHAnsi" w:hAnsiTheme="minorHAnsi" w:cstheme="minorHAnsi"/>
          <w:sz w:val="22"/>
          <w:szCs w:val="22"/>
        </w:rPr>
      </w:pPr>
      <w:r w:rsidRPr="00DA7F5B">
        <w:rPr>
          <w:rFonts w:cstheme="minorHAnsi"/>
        </w:rPr>
        <w:t>Connolly K, Bhattacharya A, Lisenkova K, McGregor PG</w:t>
      </w:r>
      <w:r w:rsidR="003F0389">
        <w:rPr>
          <w:rFonts w:cstheme="minorHAnsi"/>
        </w:rPr>
        <w:t xml:space="preserve"> (2019)</w:t>
      </w:r>
      <w:r w:rsidRPr="00DA7F5B">
        <w:rPr>
          <w:rFonts w:cstheme="minorHAnsi"/>
        </w:rPr>
        <w:t>. Can a policy-induced reduction in alcohol consumption improve health outcomes and stimulate the UK economy?: A potential 'double dividend'. Drug Alcohol Rev. Jul;38(5)</w:t>
      </w:r>
      <w:r w:rsidR="003F0389">
        <w:rPr>
          <w:rFonts w:cstheme="minorHAnsi"/>
        </w:rPr>
        <w:t xml:space="preserve">, </w:t>
      </w:r>
      <w:r w:rsidRPr="00DA7F5B">
        <w:rPr>
          <w:rFonts w:cstheme="minorHAnsi"/>
        </w:rPr>
        <w:t>554-560</w:t>
      </w:r>
      <w:r>
        <w:rPr>
          <w:rFonts w:cstheme="minorHAnsi"/>
        </w:rPr>
        <w:t>.</w:t>
      </w:r>
    </w:p>
    <w:p w14:paraId="16258BBB" w14:textId="05A71932" w:rsidR="00C744F1" w:rsidRPr="005F3E2A" w:rsidRDefault="00C744F1" w:rsidP="00C744F1">
      <w:pPr>
        <w:pStyle w:val="pf0"/>
        <w:rPr>
          <w:rFonts w:asciiTheme="minorHAnsi" w:hAnsiTheme="minorHAnsi" w:cstheme="minorHAnsi"/>
          <w:sz w:val="22"/>
          <w:szCs w:val="22"/>
        </w:rPr>
      </w:pPr>
      <w:r w:rsidRPr="005F3E2A">
        <w:rPr>
          <w:rStyle w:val="cf01"/>
          <w:rFonts w:asciiTheme="minorHAnsi" w:hAnsiTheme="minorHAnsi" w:cstheme="minorHAnsi"/>
          <w:sz w:val="22"/>
          <w:szCs w:val="22"/>
        </w:rPr>
        <w:t>Cummings, R. G.</w:t>
      </w:r>
      <w:r w:rsidR="001473AC">
        <w:rPr>
          <w:rStyle w:val="cf01"/>
          <w:rFonts w:asciiTheme="minorHAnsi" w:hAnsiTheme="minorHAnsi" w:cstheme="minorHAnsi"/>
          <w:sz w:val="22"/>
          <w:szCs w:val="22"/>
        </w:rPr>
        <w:t xml:space="preserve"> and</w:t>
      </w:r>
      <w:r w:rsidRPr="005F3E2A">
        <w:rPr>
          <w:rStyle w:val="cf01"/>
          <w:rFonts w:asciiTheme="minorHAnsi" w:hAnsiTheme="minorHAnsi" w:cstheme="minorHAnsi"/>
          <w:sz w:val="22"/>
          <w:szCs w:val="22"/>
        </w:rPr>
        <w:t xml:space="preserve"> Taylor, L. O. (1999). Unbiased value estimates for environmental goods: a cheap talk design for the contingent valuation method. </w:t>
      </w:r>
      <w:r w:rsidRPr="005F3E2A">
        <w:rPr>
          <w:rStyle w:val="cf01"/>
          <w:rFonts w:asciiTheme="minorHAnsi" w:hAnsiTheme="minorHAnsi" w:cstheme="minorHAnsi"/>
          <w:i/>
          <w:iCs/>
          <w:sz w:val="22"/>
          <w:szCs w:val="22"/>
        </w:rPr>
        <w:t xml:space="preserve">American </w:t>
      </w:r>
      <w:r w:rsidR="001473AC">
        <w:rPr>
          <w:rStyle w:val="cf01"/>
          <w:rFonts w:asciiTheme="minorHAnsi" w:hAnsiTheme="minorHAnsi" w:cstheme="minorHAnsi"/>
          <w:i/>
          <w:iCs/>
          <w:sz w:val="22"/>
          <w:szCs w:val="22"/>
        </w:rPr>
        <w:t>E</w:t>
      </w:r>
      <w:r w:rsidRPr="005F3E2A">
        <w:rPr>
          <w:rStyle w:val="cf01"/>
          <w:rFonts w:asciiTheme="minorHAnsi" w:hAnsiTheme="minorHAnsi" w:cstheme="minorHAnsi"/>
          <w:i/>
          <w:iCs/>
          <w:sz w:val="22"/>
          <w:szCs w:val="22"/>
        </w:rPr>
        <w:t xml:space="preserve">conomic </w:t>
      </w:r>
      <w:r w:rsidR="001473AC">
        <w:rPr>
          <w:rStyle w:val="cf01"/>
          <w:rFonts w:asciiTheme="minorHAnsi" w:hAnsiTheme="minorHAnsi" w:cstheme="minorHAnsi"/>
          <w:i/>
          <w:iCs/>
          <w:sz w:val="22"/>
          <w:szCs w:val="22"/>
        </w:rPr>
        <w:t>R</w:t>
      </w:r>
      <w:r w:rsidRPr="005F3E2A">
        <w:rPr>
          <w:rStyle w:val="cf01"/>
          <w:rFonts w:asciiTheme="minorHAnsi" w:hAnsiTheme="minorHAnsi" w:cstheme="minorHAnsi"/>
          <w:i/>
          <w:iCs/>
          <w:sz w:val="22"/>
          <w:szCs w:val="22"/>
        </w:rPr>
        <w:t>eview</w:t>
      </w:r>
      <w:r w:rsidRPr="005F3E2A">
        <w:rPr>
          <w:rStyle w:val="cf01"/>
          <w:rFonts w:asciiTheme="minorHAnsi" w:hAnsiTheme="minorHAnsi" w:cstheme="minorHAnsi"/>
          <w:sz w:val="22"/>
          <w:szCs w:val="22"/>
        </w:rPr>
        <w:t>, 89(3), 649-665.</w:t>
      </w:r>
    </w:p>
    <w:p w14:paraId="79106E8A" w14:textId="33E115F6" w:rsidR="001473AC" w:rsidRDefault="002632A7" w:rsidP="00C744F1">
      <w:pPr>
        <w:rPr>
          <w:rStyle w:val="cf01"/>
          <w:rFonts w:asciiTheme="minorHAnsi" w:hAnsiTheme="minorHAnsi" w:cstheme="minorBidi"/>
          <w:sz w:val="22"/>
          <w:szCs w:val="22"/>
        </w:rPr>
      </w:pPr>
      <w:r w:rsidRPr="1CE769A4">
        <w:rPr>
          <w:rStyle w:val="cf01"/>
          <w:rFonts w:asciiTheme="minorHAnsi" w:hAnsiTheme="minorHAnsi" w:cstheme="minorBidi"/>
          <w:sz w:val="22"/>
          <w:szCs w:val="22"/>
        </w:rPr>
        <w:t>DCMS</w:t>
      </w:r>
      <w:r w:rsidR="001473AC" w:rsidRPr="1CE769A4">
        <w:rPr>
          <w:rStyle w:val="cf01"/>
          <w:rFonts w:asciiTheme="minorHAnsi" w:hAnsiTheme="minorHAnsi" w:cstheme="minorBidi"/>
          <w:sz w:val="22"/>
          <w:szCs w:val="22"/>
        </w:rPr>
        <w:t xml:space="preserve"> (2022), </w:t>
      </w:r>
      <w:r w:rsidR="001473AC" w:rsidRPr="1CE769A4">
        <w:rPr>
          <w:color w:val="000000" w:themeColor="text1"/>
        </w:rPr>
        <w:t xml:space="preserve">Betting and Gaming Industry and Racing: Economic Contribution, </w:t>
      </w:r>
      <w:r w:rsidRPr="1CE769A4">
        <w:rPr>
          <w:rStyle w:val="cf01"/>
          <w:rFonts w:asciiTheme="minorHAnsi" w:hAnsiTheme="minorHAnsi" w:cstheme="minorBidi"/>
          <w:sz w:val="22"/>
          <w:szCs w:val="22"/>
        </w:rPr>
        <w:t xml:space="preserve">Department of Culture Media and Sport and </w:t>
      </w:r>
      <w:r w:rsidR="004205DA" w:rsidRPr="1CE769A4">
        <w:t>House of Commons, 7 July 2022, available</w:t>
      </w:r>
      <w:r w:rsidR="00EF59FF" w:rsidRPr="1CE769A4">
        <w:t xml:space="preserve"> online at</w:t>
      </w:r>
      <w:r w:rsidR="004205DA" w:rsidRPr="1CE769A4">
        <w:t xml:space="preserve"> </w:t>
      </w:r>
      <w:hyperlink r:id="rId16">
        <w:r w:rsidR="004205DA" w:rsidRPr="1CE769A4">
          <w:rPr>
            <w:rStyle w:val="Hyperlink"/>
          </w:rPr>
          <w:t>https://hansard.parliament.uk/commons/2022-07-07/debates/21E800AC-BC76-4C48-AE73-537138364A81/BettingAndGamingIndustryAndRacingEconomicContribution</w:t>
        </w:r>
      </w:hyperlink>
      <w:r w:rsidR="004205DA" w:rsidRPr="1CE769A4">
        <w:t xml:space="preserve"> </w:t>
      </w:r>
    </w:p>
    <w:p w14:paraId="396E34F7" w14:textId="2930C976" w:rsidR="00C744F1" w:rsidRPr="005F3E2A" w:rsidRDefault="002632A7" w:rsidP="00C744F1">
      <w:pPr>
        <w:rPr>
          <w:rStyle w:val="cf01"/>
          <w:rFonts w:asciiTheme="minorHAnsi" w:hAnsiTheme="minorHAnsi" w:cstheme="minorBidi"/>
          <w:sz w:val="22"/>
          <w:szCs w:val="22"/>
        </w:rPr>
      </w:pPr>
      <w:r w:rsidRPr="1CE769A4">
        <w:rPr>
          <w:rStyle w:val="cf01"/>
          <w:rFonts w:asciiTheme="minorHAnsi" w:hAnsiTheme="minorHAnsi" w:cstheme="minorBidi"/>
          <w:sz w:val="22"/>
          <w:szCs w:val="22"/>
        </w:rPr>
        <w:t>DCMS</w:t>
      </w:r>
      <w:r w:rsidR="00C744F1" w:rsidRPr="1CE769A4">
        <w:rPr>
          <w:rStyle w:val="cf01"/>
          <w:rFonts w:asciiTheme="minorHAnsi" w:hAnsiTheme="minorHAnsi" w:cstheme="minorBidi"/>
          <w:sz w:val="22"/>
          <w:szCs w:val="22"/>
        </w:rPr>
        <w:t xml:space="preserve"> (2023)</w:t>
      </w:r>
      <w:r w:rsidR="001473AC" w:rsidRPr="1CE769A4">
        <w:rPr>
          <w:rStyle w:val="cf01"/>
          <w:rFonts w:asciiTheme="minorHAnsi" w:hAnsiTheme="minorHAnsi" w:cstheme="minorBidi"/>
          <w:sz w:val="22"/>
          <w:szCs w:val="22"/>
        </w:rPr>
        <w:t>,</w:t>
      </w:r>
      <w:r w:rsidR="00C744F1" w:rsidRPr="1CE769A4">
        <w:rPr>
          <w:rStyle w:val="cf01"/>
          <w:rFonts w:asciiTheme="minorHAnsi" w:hAnsiTheme="minorHAnsi" w:cstheme="minorBidi"/>
          <w:i/>
          <w:iCs/>
          <w:sz w:val="22"/>
          <w:szCs w:val="22"/>
        </w:rPr>
        <w:t xml:space="preserve"> High Stake: Gambling Reform for the Digital Age</w:t>
      </w:r>
      <w:r w:rsidR="00C744F1" w:rsidRPr="1CE769A4">
        <w:rPr>
          <w:rStyle w:val="cf01"/>
          <w:rFonts w:asciiTheme="minorHAnsi" w:hAnsiTheme="minorHAnsi" w:cstheme="minorBidi"/>
          <w:sz w:val="22"/>
          <w:szCs w:val="22"/>
        </w:rPr>
        <w:t xml:space="preserve">. London: </w:t>
      </w:r>
      <w:r w:rsidRPr="1CE769A4">
        <w:rPr>
          <w:rStyle w:val="cf01"/>
          <w:rFonts w:asciiTheme="minorHAnsi" w:hAnsiTheme="minorHAnsi" w:cstheme="minorBidi"/>
          <w:sz w:val="22"/>
          <w:szCs w:val="22"/>
        </w:rPr>
        <w:t xml:space="preserve">Department of Culture Media and Sport </w:t>
      </w:r>
      <w:r w:rsidR="00EF59FF" w:rsidRPr="1CE769A4">
        <w:rPr>
          <w:rStyle w:val="cf01"/>
          <w:rFonts w:asciiTheme="minorHAnsi" w:hAnsiTheme="minorHAnsi" w:cstheme="minorBidi"/>
          <w:sz w:val="22"/>
          <w:szCs w:val="22"/>
        </w:rPr>
        <w:t xml:space="preserve">, available at </w:t>
      </w:r>
      <w:hyperlink r:id="rId17">
        <w:r w:rsidR="00EB34DC" w:rsidRPr="1CE769A4">
          <w:rPr>
            <w:rStyle w:val="Hyperlink"/>
          </w:rPr>
          <w:t>https://hansard.parliament.uk/commons/2022-07-07/debates/21E800AC-BC76-4C48-AE73-537138364A81/BettingAndGamingIndustryAndRacingEconomicContribution</w:t>
        </w:r>
      </w:hyperlink>
      <w:r w:rsidR="00EB34DC" w:rsidRPr="1CE769A4">
        <w:rPr>
          <w:rStyle w:val="cf01"/>
          <w:rFonts w:asciiTheme="minorHAnsi" w:hAnsiTheme="minorHAnsi" w:cstheme="minorBidi"/>
          <w:sz w:val="22"/>
          <w:szCs w:val="22"/>
        </w:rPr>
        <w:t xml:space="preserve"> </w:t>
      </w:r>
    </w:p>
    <w:p w14:paraId="25F96568" w14:textId="187CAC1A" w:rsidR="00C744F1" w:rsidRPr="005F3E2A" w:rsidRDefault="62B78DA1" w:rsidP="50F8DD03">
      <w:pPr>
        <w:pStyle w:val="pf0"/>
        <w:rPr>
          <w:rStyle w:val="cf01"/>
          <w:rFonts w:asciiTheme="minorHAnsi" w:hAnsiTheme="minorHAnsi" w:cstheme="minorBidi"/>
          <w:sz w:val="22"/>
          <w:szCs w:val="22"/>
        </w:rPr>
      </w:pPr>
      <w:r w:rsidRPr="50F8DD03">
        <w:rPr>
          <w:rStyle w:val="cf01"/>
          <w:rFonts w:asciiTheme="minorHAnsi" w:hAnsiTheme="minorHAnsi" w:cstheme="minorBidi"/>
          <w:sz w:val="22"/>
          <w:szCs w:val="22"/>
        </w:rPr>
        <w:t>Hauber AB, González JM, Groothuis-Oudshoorn CGM, Prior T, Marshall DA, Cunningham C, IJzerman MJ, Bridges JFP</w:t>
      </w:r>
      <w:r w:rsidR="0C25A0D9" w:rsidRPr="50F8DD03">
        <w:rPr>
          <w:rStyle w:val="cf01"/>
          <w:rFonts w:asciiTheme="minorHAnsi" w:hAnsiTheme="minorHAnsi" w:cstheme="minorBidi"/>
          <w:sz w:val="22"/>
          <w:szCs w:val="22"/>
        </w:rPr>
        <w:t xml:space="preserve"> (2016),</w:t>
      </w:r>
      <w:r w:rsidRPr="50F8DD03">
        <w:rPr>
          <w:rStyle w:val="cf01"/>
          <w:rFonts w:asciiTheme="minorHAnsi" w:hAnsiTheme="minorHAnsi" w:cstheme="minorBidi"/>
          <w:sz w:val="22"/>
          <w:szCs w:val="22"/>
        </w:rPr>
        <w:t xml:space="preserve"> Statistical methods for the analysis of discrete choice experiments: a report of the ISPOR Conjoint Analysis Good Research Practices Task Force. </w:t>
      </w:r>
      <w:r w:rsidRPr="50F8DD03">
        <w:rPr>
          <w:rStyle w:val="cf01"/>
          <w:rFonts w:asciiTheme="minorHAnsi" w:hAnsiTheme="minorHAnsi" w:cstheme="minorBidi"/>
          <w:i/>
          <w:iCs/>
          <w:sz w:val="22"/>
          <w:szCs w:val="22"/>
        </w:rPr>
        <w:t>Value Health</w:t>
      </w:r>
      <w:r w:rsidRPr="50F8DD03">
        <w:rPr>
          <w:rStyle w:val="cf01"/>
          <w:rFonts w:asciiTheme="minorHAnsi" w:hAnsiTheme="minorHAnsi" w:cstheme="minorBidi"/>
          <w:sz w:val="22"/>
          <w:szCs w:val="22"/>
        </w:rPr>
        <w:t>. 2016 Jun;19(4):300–15. doi: 10.1016/j.jval.2016.04.004.</w:t>
      </w:r>
    </w:p>
    <w:p w14:paraId="53F2ABC4" w14:textId="344791D0" w:rsidR="00C744F1" w:rsidRPr="005F3E2A" w:rsidRDefault="00C744F1" w:rsidP="00C744F1">
      <w:pPr>
        <w:pStyle w:val="pf0"/>
        <w:rPr>
          <w:rStyle w:val="cf01"/>
          <w:rFonts w:asciiTheme="minorHAnsi" w:hAnsiTheme="minorHAnsi" w:cstheme="minorBidi"/>
          <w:sz w:val="22"/>
          <w:szCs w:val="22"/>
        </w:rPr>
      </w:pPr>
      <w:r w:rsidRPr="1CE769A4">
        <w:rPr>
          <w:rStyle w:val="cf01"/>
          <w:rFonts w:asciiTheme="minorHAnsi" w:hAnsiTheme="minorHAnsi" w:cstheme="minorBidi"/>
          <w:sz w:val="22"/>
          <w:szCs w:val="22"/>
        </w:rPr>
        <w:t>https://linkinghub.elsevier.com/retrieve/pii/S1098-3015(16)30291-1 .S1098-3015(16)30291-1</w:t>
      </w:r>
    </w:p>
    <w:p w14:paraId="16294F5C" w14:textId="4B557037" w:rsidR="00F10065" w:rsidRDefault="62B78DA1" w:rsidP="50F8DD03">
      <w:pPr>
        <w:pStyle w:val="pf0"/>
        <w:rPr>
          <w:rFonts w:asciiTheme="minorHAnsi" w:hAnsiTheme="minorHAnsi" w:cstheme="minorBidi"/>
          <w:color w:val="222222"/>
          <w:sz w:val="22"/>
          <w:szCs w:val="22"/>
          <w:bdr w:val="none" w:sz="0" w:space="0" w:color="auto" w:frame="1"/>
          <w:shd w:val="clear" w:color="auto" w:fill="FFFFFF"/>
        </w:rPr>
      </w:pPr>
      <w:r w:rsidRPr="50F8DD03">
        <w:rPr>
          <w:rFonts w:asciiTheme="minorHAnsi" w:hAnsiTheme="minorHAnsi" w:cstheme="minorBidi"/>
          <w:color w:val="222222"/>
          <w:sz w:val="22"/>
          <w:szCs w:val="22"/>
          <w:bdr w:val="none" w:sz="0" w:space="0" w:color="auto" w:frame="1"/>
          <w:shd w:val="clear" w:color="auto" w:fill="FFFFFF"/>
        </w:rPr>
        <w:t xml:space="preserve">Hanley, N., Sheremet, O., Bozzola, M. and MacMillan, D.C. </w:t>
      </w:r>
      <w:r w:rsidR="0C25A0D9" w:rsidRPr="50F8DD03">
        <w:rPr>
          <w:rFonts w:asciiTheme="minorHAnsi" w:hAnsiTheme="minorHAnsi" w:cstheme="minorBidi"/>
          <w:color w:val="222222"/>
          <w:sz w:val="22"/>
          <w:szCs w:val="22"/>
          <w:bdr w:val="none" w:sz="0" w:space="0" w:color="auto" w:frame="1"/>
          <w:shd w:val="clear" w:color="auto" w:fill="FFFFFF"/>
        </w:rPr>
        <w:t>(</w:t>
      </w:r>
      <w:r w:rsidRPr="50F8DD03">
        <w:rPr>
          <w:rFonts w:asciiTheme="minorHAnsi" w:hAnsiTheme="minorHAnsi" w:cstheme="minorBidi"/>
          <w:color w:val="222222"/>
          <w:sz w:val="22"/>
          <w:szCs w:val="22"/>
          <w:bdr w:val="none" w:sz="0" w:space="0" w:color="auto" w:frame="1"/>
          <w:shd w:val="clear" w:color="auto" w:fill="FFFFFF"/>
        </w:rPr>
        <w:t>2018</w:t>
      </w:r>
      <w:r w:rsidR="0C25A0D9" w:rsidRPr="50F8DD03">
        <w:rPr>
          <w:rFonts w:asciiTheme="minorHAnsi" w:hAnsiTheme="minorHAnsi" w:cstheme="minorBidi"/>
          <w:color w:val="222222"/>
          <w:sz w:val="22"/>
          <w:szCs w:val="22"/>
          <w:bdr w:val="none" w:sz="0" w:space="0" w:color="auto" w:frame="1"/>
          <w:shd w:val="clear" w:color="auto" w:fill="FFFFFF"/>
        </w:rPr>
        <w:t>),</w:t>
      </w:r>
      <w:r w:rsidRPr="50F8DD03">
        <w:rPr>
          <w:rFonts w:asciiTheme="minorHAnsi" w:hAnsiTheme="minorHAnsi" w:cstheme="minorBidi"/>
          <w:color w:val="222222"/>
          <w:sz w:val="22"/>
          <w:szCs w:val="22"/>
          <w:bdr w:val="none" w:sz="0" w:space="0" w:color="auto" w:frame="1"/>
          <w:shd w:val="clear" w:color="auto" w:fill="FFFFFF"/>
        </w:rPr>
        <w:t xml:space="preserve"> The allure of the illegal: Choice modeling of rhino horn demand in Vietnam. </w:t>
      </w:r>
      <w:r w:rsidRPr="50F8DD03">
        <w:rPr>
          <w:rFonts w:asciiTheme="minorHAnsi" w:hAnsiTheme="minorHAnsi" w:cstheme="minorBidi"/>
          <w:i/>
          <w:iCs/>
          <w:color w:val="222222"/>
          <w:sz w:val="22"/>
          <w:szCs w:val="22"/>
          <w:bdr w:val="none" w:sz="0" w:space="0" w:color="auto" w:frame="1"/>
          <w:shd w:val="clear" w:color="auto" w:fill="FFFFFF"/>
        </w:rPr>
        <w:t>Conservation Letters</w:t>
      </w:r>
      <w:r w:rsidRPr="50F8DD03">
        <w:rPr>
          <w:rFonts w:asciiTheme="minorHAnsi" w:hAnsiTheme="minorHAnsi" w:cstheme="minorBidi"/>
          <w:color w:val="222222"/>
          <w:sz w:val="22"/>
          <w:szCs w:val="22"/>
          <w:bdr w:val="none" w:sz="0" w:space="0" w:color="auto" w:frame="1"/>
          <w:shd w:val="clear" w:color="auto" w:fill="FFFFFF"/>
        </w:rPr>
        <w:t>, </w:t>
      </w:r>
      <w:r w:rsidRPr="50F8DD03">
        <w:rPr>
          <w:rFonts w:asciiTheme="minorHAnsi" w:hAnsiTheme="minorHAnsi" w:cstheme="minorBidi"/>
          <w:i/>
          <w:iCs/>
          <w:color w:val="222222"/>
          <w:sz w:val="22"/>
          <w:szCs w:val="22"/>
          <w:bdr w:val="none" w:sz="0" w:space="0" w:color="auto" w:frame="1"/>
          <w:shd w:val="clear" w:color="auto" w:fill="FFFFFF"/>
        </w:rPr>
        <w:t>11</w:t>
      </w:r>
      <w:r w:rsidRPr="50F8DD03">
        <w:rPr>
          <w:rFonts w:asciiTheme="minorHAnsi" w:hAnsiTheme="minorHAnsi" w:cstheme="minorBidi"/>
          <w:color w:val="222222"/>
          <w:sz w:val="22"/>
          <w:szCs w:val="22"/>
          <w:bdr w:val="none" w:sz="0" w:space="0" w:color="auto" w:frame="1"/>
          <w:shd w:val="clear" w:color="auto" w:fill="FFFFFF"/>
        </w:rPr>
        <w:t>(3), p.e12417.</w:t>
      </w:r>
    </w:p>
    <w:p w14:paraId="1FB45559" w14:textId="5E203F4D" w:rsidR="00C744F1" w:rsidRDefault="62B78DA1" w:rsidP="50F8DD03">
      <w:pPr>
        <w:pStyle w:val="pf0"/>
        <w:rPr>
          <w:rStyle w:val="cf01"/>
          <w:rFonts w:asciiTheme="minorHAnsi" w:hAnsiTheme="minorHAnsi" w:cstheme="minorBidi"/>
          <w:sz w:val="22"/>
          <w:szCs w:val="22"/>
        </w:rPr>
      </w:pPr>
      <w:r w:rsidRPr="50F8DD03">
        <w:rPr>
          <w:rStyle w:val="cf01"/>
          <w:rFonts w:asciiTheme="minorHAnsi" w:hAnsiTheme="minorHAnsi" w:cstheme="minorBidi"/>
          <w:sz w:val="22"/>
          <w:szCs w:val="22"/>
        </w:rPr>
        <w:t xml:space="preserve">Hensher DA, Rose JM, Green W. </w:t>
      </w:r>
      <w:r w:rsidRPr="50F8DD03">
        <w:rPr>
          <w:rStyle w:val="cf01"/>
          <w:rFonts w:asciiTheme="minorHAnsi" w:hAnsiTheme="minorHAnsi" w:cstheme="minorBidi"/>
          <w:i/>
          <w:iCs/>
          <w:sz w:val="22"/>
          <w:szCs w:val="22"/>
        </w:rPr>
        <w:t>Applied Choice Analysis: A Primer</w:t>
      </w:r>
      <w:r w:rsidRPr="50F8DD03">
        <w:rPr>
          <w:rStyle w:val="cf01"/>
          <w:rFonts w:asciiTheme="minorHAnsi" w:hAnsiTheme="minorHAnsi" w:cstheme="minorBidi"/>
          <w:sz w:val="22"/>
          <w:szCs w:val="22"/>
        </w:rPr>
        <w:t>. Cambridge, UK: Cambridge University Press; 2005.</w:t>
      </w:r>
    </w:p>
    <w:p w14:paraId="1B015DB4" w14:textId="51CCA633" w:rsidR="002632A7" w:rsidRPr="002632A7" w:rsidRDefault="0C25A0D9" w:rsidP="50F8DD03">
      <w:pPr>
        <w:rPr>
          <w:rStyle w:val="cf01"/>
          <w:rFonts w:asciiTheme="minorHAnsi" w:eastAsia="Lato" w:hAnsiTheme="minorHAnsi" w:cs="Lato"/>
          <w:sz w:val="22"/>
          <w:szCs w:val="22"/>
        </w:rPr>
      </w:pPr>
      <w:r w:rsidRPr="50F8DD03">
        <w:rPr>
          <w:rStyle w:val="cf01"/>
          <w:rFonts w:asciiTheme="minorHAnsi" w:hAnsiTheme="minorHAnsi" w:cstheme="minorBidi"/>
          <w:sz w:val="22"/>
          <w:szCs w:val="22"/>
        </w:rPr>
        <w:t xml:space="preserve">HMRC (2022), </w:t>
      </w:r>
      <w:r>
        <w:t>Corporation Tax Statistics 2022</w:t>
      </w:r>
      <w:r w:rsidRPr="50F8DD03">
        <w:rPr>
          <w:rFonts w:eastAsia="Lato" w:cs="Lato"/>
        </w:rPr>
        <w:t xml:space="preserve">, Table 7, Row 81, </w:t>
      </w:r>
      <w:hyperlink r:id="rId18" w:history="1">
        <w:r w:rsidRPr="50F8DD03">
          <w:rPr>
            <w:rStyle w:val="Hyperlink"/>
            <w:rFonts w:eastAsia="Lato" w:cs="Lato"/>
          </w:rPr>
          <w:t>https://www.gov.uk/government/statistics/corporation-tax-statistics-2022</w:t>
        </w:r>
      </w:hyperlink>
      <w:r w:rsidRPr="50F8DD03">
        <w:rPr>
          <w:rFonts w:eastAsia="Lato" w:cs="Lato"/>
        </w:rPr>
        <w:t xml:space="preserve"> </w:t>
      </w:r>
    </w:p>
    <w:p w14:paraId="2BD2F149" w14:textId="078AFC8B" w:rsidR="002807BF" w:rsidRPr="004459FA" w:rsidRDefault="002807BF" w:rsidP="004459FA">
      <w:pPr>
        <w:rPr>
          <w:rStyle w:val="cf01"/>
          <w:rFonts w:asciiTheme="minorHAnsi" w:eastAsia="Lato" w:hAnsiTheme="minorHAnsi" w:cstheme="minorHAnsi"/>
          <w:sz w:val="22"/>
          <w:szCs w:val="22"/>
        </w:rPr>
      </w:pPr>
      <w:r w:rsidRPr="005F3E2A">
        <w:rPr>
          <w:rFonts w:eastAsia="Lato" w:cstheme="minorHAnsi"/>
        </w:rPr>
        <w:lastRenderedPageBreak/>
        <w:t xml:space="preserve">HoL (2020), Select Committee on the Social and Economic Impact of the Gambling Industry Gambling Harm—Time for Action, House of Lords, 2 July, available online at </w:t>
      </w:r>
      <w:hyperlink r:id="rId19" w:history="1">
        <w:r w:rsidRPr="005F3E2A">
          <w:rPr>
            <w:rStyle w:val="Hyperlink"/>
            <w:rFonts w:eastAsia="Lato" w:cstheme="minorHAnsi"/>
          </w:rPr>
          <w:t>https://publications.parliament.uk/pa/ld5801/ldselect/ldgamb/79/7902.htm</w:t>
        </w:r>
      </w:hyperlink>
      <w:r w:rsidRPr="005F3E2A">
        <w:rPr>
          <w:rFonts w:eastAsia="Lato" w:cstheme="minorHAnsi"/>
        </w:rPr>
        <w:t xml:space="preserve"> </w:t>
      </w:r>
    </w:p>
    <w:p w14:paraId="643AF452" w14:textId="72580E29" w:rsidR="00C744F1" w:rsidRPr="005F3E2A" w:rsidRDefault="62B78DA1" w:rsidP="50F8DD03">
      <w:pPr>
        <w:pStyle w:val="pf0"/>
        <w:rPr>
          <w:rStyle w:val="cf01"/>
          <w:rFonts w:asciiTheme="minorHAnsi" w:hAnsiTheme="minorHAnsi" w:cstheme="minorBidi"/>
          <w:sz w:val="22"/>
          <w:szCs w:val="22"/>
        </w:rPr>
      </w:pPr>
      <w:r w:rsidRPr="50F8DD03">
        <w:rPr>
          <w:rStyle w:val="cf01"/>
          <w:rFonts w:asciiTheme="minorHAnsi" w:hAnsiTheme="minorHAnsi" w:cstheme="minorBidi"/>
          <w:sz w:val="22"/>
          <w:szCs w:val="22"/>
        </w:rPr>
        <w:t>Ida, T.</w:t>
      </w:r>
      <w:r w:rsidR="0C25A0D9" w:rsidRPr="50F8DD03">
        <w:rPr>
          <w:rStyle w:val="cf01"/>
          <w:rFonts w:asciiTheme="minorHAnsi" w:hAnsiTheme="minorHAnsi" w:cstheme="minorBidi"/>
          <w:sz w:val="22"/>
          <w:szCs w:val="22"/>
        </w:rPr>
        <w:t xml:space="preserve"> and</w:t>
      </w:r>
      <w:r w:rsidRPr="50F8DD03">
        <w:rPr>
          <w:rStyle w:val="cf01"/>
          <w:rFonts w:asciiTheme="minorHAnsi" w:hAnsiTheme="minorHAnsi" w:cstheme="minorBidi"/>
          <w:sz w:val="22"/>
          <w:szCs w:val="22"/>
        </w:rPr>
        <w:t>Goto, R. (2009). Interdependency among addictive behaviours and time/risk preferences: Discrete choice model analysis of smoking, drinking, and gambling. </w:t>
      </w:r>
      <w:r w:rsidRPr="50F8DD03">
        <w:rPr>
          <w:rStyle w:val="cf01"/>
          <w:rFonts w:asciiTheme="minorHAnsi" w:hAnsiTheme="minorHAnsi" w:cstheme="minorBidi"/>
          <w:i/>
          <w:iCs/>
          <w:sz w:val="22"/>
          <w:szCs w:val="22"/>
        </w:rPr>
        <w:t>Journal of Economic Psychology</w:t>
      </w:r>
      <w:r w:rsidRPr="50F8DD03">
        <w:rPr>
          <w:rStyle w:val="cf01"/>
          <w:rFonts w:asciiTheme="minorHAnsi" w:hAnsiTheme="minorHAnsi" w:cstheme="minorBidi"/>
          <w:sz w:val="22"/>
          <w:szCs w:val="22"/>
        </w:rPr>
        <w:t>, 30(4), 608-621.</w:t>
      </w:r>
    </w:p>
    <w:p w14:paraId="44BBE872" w14:textId="51A20EA5" w:rsidR="00C744F1" w:rsidRPr="00AA27B7" w:rsidRDefault="0C25A0D9" w:rsidP="50F8DD03">
      <w:pPr>
        <w:pStyle w:val="pf0"/>
        <w:rPr>
          <w:rStyle w:val="cf01"/>
          <w:rFonts w:asciiTheme="minorHAnsi" w:hAnsiTheme="minorHAnsi" w:cstheme="minorBidi"/>
          <w:sz w:val="22"/>
          <w:szCs w:val="22"/>
          <w:lang w:val="da-DK"/>
        </w:rPr>
      </w:pPr>
      <w:r w:rsidRPr="50F8DD03">
        <w:rPr>
          <w:rStyle w:val="cf01"/>
          <w:rFonts w:asciiTheme="minorHAnsi" w:hAnsiTheme="minorHAnsi" w:cstheme="minorBidi"/>
          <w:sz w:val="22"/>
          <w:szCs w:val="22"/>
        </w:rPr>
        <w:t>IPPR</w:t>
      </w:r>
      <w:r w:rsidR="62B78DA1" w:rsidRPr="50F8DD03">
        <w:rPr>
          <w:rStyle w:val="cf01"/>
          <w:rFonts w:asciiTheme="minorHAnsi" w:hAnsiTheme="minorHAnsi" w:cstheme="minorBidi"/>
          <w:sz w:val="22"/>
          <w:szCs w:val="22"/>
        </w:rPr>
        <w:t xml:space="preserve"> (2016)</w:t>
      </w:r>
      <w:r w:rsidR="28C5C95C" w:rsidRPr="50F8DD03">
        <w:rPr>
          <w:rStyle w:val="cf01"/>
          <w:rFonts w:asciiTheme="minorHAnsi" w:hAnsiTheme="minorHAnsi" w:cstheme="minorBidi"/>
          <w:sz w:val="22"/>
          <w:szCs w:val="22"/>
        </w:rPr>
        <w:t>,</w:t>
      </w:r>
      <w:r w:rsidR="62B78DA1" w:rsidRPr="50F8DD03">
        <w:rPr>
          <w:rStyle w:val="cf01"/>
          <w:rFonts w:asciiTheme="minorHAnsi" w:hAnsiTheme="minorHAnsi" w:cstheme="minorBidi"/>
          <w:sz w:val="22"/>
          <w:szCs w:val="22"/>
        </w:rPr>
        <w:t xml:space="preserve"> </w:t>
      </w:r>
      <w:r w:rsidR="62B78DA1" w:rsidRPr="50F8DD03">
        <w:rPr>
          <w:rStyle w:val="cf01"/>
          <w:rFonts w:asciiTheme="minorHAnsi" w:hAnsiTheme="minorHAnsi" w:cstheme="minorBidi"/>
          <w:i/>
          <w:iCs/>
          <w:sz w:val="22"/>
          <w:szCs w:val="22"/>
        </w:rPr>
        <w:t>Cards on the table: The cost to government associated with people who are problem gamblers in Britain</w:t>
      </w:r>
      <w:r w:rsidRPr="50F8DD03">
        <w:rPr>
          <w:rStyle w:val="cf01"/>
          <w:rFonts w:asciiTheme="minorHAnsi" w:hAnsiTheme="minorHAnsi" w:cstheme="minorBidi"/>
          <w:sz w:val="22"/>
          <w:szCs w:val="22"/>
        </w:rPr>
        <w:t>, Institute of Public Policy Research,</w:t>
      </w:r>
      <w:r w:rsidR="62B78DA1" w:rsidRPr="50F8DD03">
        <w:rPr>
          <w:rStyle w:val="cf01"/>
          <w:rFonts w:asciiTheme="minorHAnsi" w:hAnsiTheme="minorHAnsi" w:cstheme="minorBidi"/>
          <w:sz w:val="22"/>
          <w:szCs w:val="22"/>
        </w:rPr>
        <w:t xml:space="preserve"> </w:t>
      </w:r>
      <w:r w:rsidRPr="50F8DD03">
        <w:rPr>
          <w:rStyle w:val="cf01"/>
          <w:rFonts w:asciiTheme="minorHAnsi" w:hAnsiTheme="minorHAnsi" w:cstheme="minorBidi"/>
          <w:sz w:val="22"/>
          <w:szCs w:val="22"/>
          <w:lang w:val="da-DK"/>
        </w:rPr>
        <w:t>a</w:t>
      </w:r>
      <w:r w:rsidR="62B78DA1" w:rsidRPr="50F8DD03">
        <w:rPr>
          <w:rStyle w:val="cf01"/>
          <w:rFonts w:asciiTheme="minorHAnsi" w:hAnsiTheme="minorHAnsi" w:cstheme="minorBidi"/>
          <w:sz w:val="22"/>
          <w:szCs w:val="22"/>
          <w:lang w:val="da-DK"/>
        </w:rPr>
        <w:t>vailable at https://www.ippr.org/publications/cards-on-the-table.</w:t>
      </w:r>
    </w:p>
    <w:p w14:paraId="77D14483" w14:textId="53CD2290" w:rsidR="00C744F1" w:rsidRPr="005F3E2A" w:rsidRDefault="62B78DA1" w:rsidP="50F8DD03">
      <w:pPr>
        <w:pStyle w:val="pf0"/>
        <w:rPr>
          <w:rStyle w:val="cf01"/>
          <w:rFonts w:asciiTheme="minorHAnsi" w:hAnsiTheme="minorHAnsi" w:cstheme="minorBidi"/>
          <w:sz w:val="22"/>
          <w:szCs w:val="22"/>
        </w:rPr>
      </w:pPr>
      <w:r w:rsidRPr="50F8DD03">
        <w:rPr>
          <w:rStyle w:val="cf01"/>
          <w:rFonts w:asciiTheme="minorHAnsi" w:hAnsiTheme="minorHAnsi" w:cstheme="minorBidi"/>
          <w:sz w:val="22"/>
          <w:szCs w:val="22"/>
          <w:lang w:val="da-DK"/>
        </w:rPr>
        <w:t>Johnson F</w:t>
      </w:r>
      <w:r w:rsidR="28C5C95C" w:rsidRPr="50F8DD03">
        <w:rPr>
          <w:rStyle w:val="cf01"/>
          <w:rFonts w:asciiTheme="minorHAnsi" w:hAnsiTheme="minorHAnsi" w:cstheme="minorBidi"/>
          <w:sz w:val="22"/>
          <w:szCs w:val="22"/>
          <w:lang w:val="da-DK"/>
        </w:rPr>
        <w:t>.</w:t>
      </w:r>
      <w:r w:rsidRPr="50F8DD03">
        <w:rPr>
          <w:rStyle w:val="cf01"/>
          <w:rFonts w:asciiTheme="minorHAnsi" w:hAnsiTheme="minorHAnsi" w:cstheme="minorBidi"/>
          <w:sz w:val="22"/>
          <w:szCs w:val="22"/>
          <w:lang w:val="da-DK"/>
        </w:rPr>
        <w:t>R</w:t>
      </w:r>
      <w:r w:rsidR="28C5C95C" w:rsidRPr="50F8DD03">
        <w:rPr>
          <w:rStyle w:val="cf01"/>
          <w:rFonts w:asciiTheme="minorHAnsi" w:hAnsiTheme="minorHAnsi" w:cstheme="minorBidi"/>
          <w:sz w:val="22"/>
          <w:szCs w:val="22"/>
          <w:lang w:val="da-DK"/>
        </w:rPr>
        <w:t>.</w:t>
      </w:r>
      <w:r w:rsidRPr="50F8DD03">
        <w:rPr>
          <w:rStyle w:val="cf01"/>
          <w:rFonts w:asciiTheme="minorHAnsi" w:hAnsiTheme="minorHAnsi" w:cstheme="minorBidi"/>
          <w:sz w:val="22"/>
          <w:szCs w:val="22"/>
          <w:lang w:val="da-DK"/>
        </w:rPr>
        <w:t>, Lancsar E</w:t>
      </w:r>
      <w:r w:rsidR="28C5C95C" w:rsidRPr="50F8DD03">
        <w:rPr>
          <w:rStyle w:val="cf01"/>
          <w:rFonts w:asciiTheme="minorHAnsi" w:hAnsiTheme="minorHAnsi" w:cstheme="minorBidi"/>
          <w:sz w:val="22"/>
          <w:szCs w:val="22"/>
          <w:lang w:val="da-DK"/>
        </w:rPr>
        <w:t>.</w:t>
      </w:r>
      <w:r w:rsidRPr="50F8DD03">
        <w:rPr>
          <w:rStyle w:val="cf01"/>
          <w:rFonts w:asciiTheme="minorHAnsi" w:hAnsiTheme="minorHAnsi" w:cstheme="minorBidi"/>
          <w:sz w:val="22"/>
          <w:szCs w:val="22"/>
          <w:lang w:val="da-DK"/>
        </w:rPr>
        <w:t>, Marshall D</w:t>
      </w:r>
      <w:r w:rsidR="28C5C95C" w:rsidRPr="50F8DD03">
        <w:rPr>
          <w:rStyle w:val="cf01"/>
          <w:rFonts w:asciiTheme="minorHAnsi" w:hAnsiTheme="minorHAnsi" w:cstheme="minorBidi"/>
          <w:sz w:val="22"/>
          <w:szCs w:val="22"/>
          <w:lang w:val="da-DK"/>
        </w:rPr>
        <w:t>,</w:t>
      </w:r>
      <w:r w:rsidRPr="50F8DD03">
        <w:rPr>
          <w:rStyle w:val="cf01"/>
          <w:rFonts w:asciiTheme="minorHAnsi" w:hAnsiTheme="minorHAnsi" w:cstheme="minorBidi"/>
          <w:sz w:val="22"/>
          <w:szCs w:val="22"/>
          <w:lang w:val="da-DK"/>
        </w:rPr>
        <w:t>, et al.</w:t>
      </w:r>
      <w:r w:rsidR="28C5C95C" w:rsidRPr="50F8DD03">
        <w:rPr>
          <w:rStyle w:val="cf01"/>
          <w:rFonts w:asciiTheme="minorHAnsi" w:hAnsiTheme="minorHAnsi" w:cstheme="minorBidi"/>
          <w:sz w:val="22"/>
          <w:szCs w:val="22"/>
          <w:lang w:val="da-DK"/>
        </w:rPr>
        <w:t xml:space="preserve"> (2013),</w:t>
      </w:r>
      <w:r w:rsidRPr="50F8DD03">
        <w:rPr>
          <w:rStyle w:val="cf01"/>
          <w:rFonts w:asciiTheme="minorHAnsi" w:hAnsiTheme="minorHAnsi" w:cstheme="minorBidi"/>
          <w:sz w:val="22"/>
          <w:szCs w:val="22"/>
          <w:lang w:val="da-DK"/>
        </w:rPr>
        <w:t xml:space="preserve"> </w:t>
      </w:r>
      <w:r w:rsidRPr="50F8DD03">
        <w:rPr>
          <w:rStyle w:val="cf01"/>
          <w:rFonts w:asciiTheme="minorHAnsi" w:hAnsiTheme="minorHAnsi" w:cstheme="minorBidi"/>
          <w:sz w:val="22"/>
          <w:szCs w:val="22"/>
        </w:rPr>
        <w:t xml:space="preserve">Constructing experimental designs for discrete-choice experiments: report of the ISPOR Conjoint Analysis Experimental Design Good Research Practices Task Force. </w:t>
      </w:r>
      <w:r w:rsidRPr="50F8DD03">
        <w:rPr>
          <w:rStyle w:val="cf01"/>
          <w:rFonts w:asciiTheme="minorHAnsi" w:hAnsiTheme="minorHAnsi" w:cstheme="minorBidi"/>
          <w:i/>
          <w:iCs/>
          <w:sz w:val="22"/>
          <w:szCs w:val="22"/>
        </w:rPr>
        <w:t>Value Health</w:t>
      </w:r>
      <w:r w:rsidRPr="50F8DD03">
        <w:rPr>
          <w:rStyle w:val="cf01"/>
          <w:rFonts w:asciiTheme="minorHAnsi" w:hAnsiTheme="minorHAnsi" w:cstheme="minorBidi"/>
          <w:sz w:val="22"/>
          <w:szCs w:val="22"/>
        </w:rPr>
        <w:t>. 2013;16(1):3-13</w:t>
      </w:r>
    </w:p>
    <w:p w14:paraId="323E5365" w14:textId="77777777" w:rsidR="00C744F1" w:rsidRPr="005F3E2A" w:rsidRDefault="00C744F1" w:rsidP="00C744F1">
      <w:pPr>
        <w:pStyle w:val="pf0"/>
        <w:rPr>
          <w:rStyle w:val="cf01"/>
          <w:rFonts w:asciiTheme="minorHAnsi" w:hAnsiTheme="minorHAnsi" w:cstheme="minorHAnsi"/>
          <w:sz w:val="22"/>
          <w:szCs w:val="22"/>
        </w:rPr>
      </w:pPr>
      <w:r w:rsidRPr="1CE769A4">
        <w:rPr>
          <w:rStyle w:val="cf01"/>
          <w:rFonts w:asciiTheme="minorHAnsi" w:hAnsiTheme="minorHAnsi" w:cstheme="minorBidi"/>
          <w:sz w:val="22"/>
          <w:szCs w:val="22"/>
        </w:rPr>
        <w:t xml:space="preserve">Latvala, T., Lintonen, T. and Konu, A., 2019. Public health effects of gambling–debate on a conceptual model. </w:t>
      </w:r>
      <w:r w:rsidRPr="1CE769A4">
        <w:rPr>
          <w:rStyle w:val="cf01"/>
          <w:rFonts w:asciiTheme="minorHAnsi" w:hAnsiTheme="minorHAnsi" w:cstheme="minorBidi"/>
          <w:i/>
          <w:iCs/>
          <w:sz w:val="22"/>
          <w:szCs w:val="22"/>
        </w:rPr>
        <w:t>BMC public health,</w:t>
      </w:r>
      <w:r w:rsidRPr="1CE769A4">
        <w:rPr>
          <w:rStyle w:val="cf01"/>
          <w:rFonts w:asciiTheme="minorHAnsi" w:hAnsiTheme="minorHAnsi" w:cstheme="minorBidi"/>
          <w:sz w:val="22"/>
          <w:szCs w:val="22"/>
        </w:rPr>
        <w:t xml:space="preserve"> 19, pp.1-16</w:t>
      </w:r>
    </w:p>
    <w:p w14:paraId="3A5EEC1B" w14:textId="0D11E3E1" w:rsidR="00F50B04" w:rsidRPr="003611FF" w:rsidRDefault="03A0842B" w:rsidP="50F8DD03">
      <w:pPr>
        <w:pStyle w:val="pf0"/>
        <w:rPr>
          <w:rStyle w:val="cf01"/>
          <w:rFonts w:asciiTheme="minorHAnsi" w:hAnsiTheme="minorHAnsi" w:cstheme="minorBidi"/>
          <w:sz w:val="22"/>
          <w:szCs w:val="22"/>
        </w:rPr>
      </w:pPr>
      <w:r w:rsidRPr="50F8DD03">
        <w:rPr>
          <w:rStyle w:val="cf01"/>
          <w:rFonts w:asciiTheme="minorHAnsi" w:hAnsiTheme="minorHAnsi" w:cstheme="minorBidi"/>
          <w:sz w:val="22"/>
          <w:szCs w:val="22"/>
        </w:rPr>
        <w:t>Lee, B. K.</w:t>
      </w:r>
      <w:r w:rsidR="0C25A0D9" w:rsidRPr="50F8DD03">
        <w:rPr>
          <w:rStyle w:val="cf01"/>
          <w:rFonts w:asciiTheme="minorHAnsi" w:hAnsiTheme="minorHAnsi" w:cstheme="minorBidi"/>
          <w:sz w:val="22"/>
          <w:szCs w:val="22"/>
        </w:rPr>
        <w:t xml:space="preserve"> and</w:t>
      </w:r>
      <w:r w:rsidRPr="50F8DD03">
        <w:rPr>
          <w:rStyle w:val="cf01"/>
          <w:rFonts w:asciiTheme="minorHAnsi" w:hAnsiTheme="minorHAnsi" w:cstheme="minorBidi"/>
          <w:sz w:val="22"/>
          <w:szCs w:val="22"/>
        </w:rPr>
        <w:t xml:space="preserve">Ofori Dei, S. M. (2022). Changes in work status, couple adjustment, and recovery capital: secondary analysis of data from a Congruence Couple Therapy randomized controlled trial. </w:t>
      </w:r>
      <w:r w:rsidRPr="50F8DD03">
        <w:rPr>
          <w:rStyle w:val="cf11"/>
          <w:rFonts w:asciiTheme="minorHAnsi" w:hAnsiTheme="minorHAnsi" w:cstheme="minorBidi"/>
          <w:sz w:val="22"/>
          <w:szCs w:val="22"/>
        </w:rPr>
        <w:t>Substance Abuse: Research and Treatment, 16, 11782218221088875.</w:t>
      </w:r>
      <w:r w:rsidRPr="50F8DD03">
        <w:rPr>
          <w:rStyle w:val="cf01"/>
          <w:rFonts w:asciiTheme="minorHAnsi" w:hAnsiTheme="minorHAnsi" w:cstheme="minorBidi"/>
          <w:sz w:val="22"/>
          <w:szCs w:val="22"/>
        </w:rPr>
        <w:t xml:space="preserve"> </w:t>
      </w:r>
    </w:p>
    <w:p w14:paraId="1C1222A2" w14:textId="5C5B6C84" w:rsidR="00C744F1" w:rsidRPr="005F3E2A" w:rsidRDefault="00C744F1" w:rsidP="00C744F1">
      <w:pPr>
        <w:pStyle w:val="pf0"/>
        <w:rPr>
          <w:rStyle w:val="cf01"/>
          <w:rFonts w:asciiTheme="minorHAnsi" w:hAnsiTheme="minorHAnsi" w:cstheme="minorBidi"/>
          <w:sz w:val="22"/>
          <w:szCs w:val="22"/>
        </w:rPr>
      </w:pPr>
      <w:r w:rsidRPr="1CE769A4">
        <w:rPr>
          <w:rStyle w:val="cf01"/>
          <w:rFonts w:asciiTheme="minorHAnsi" w:hAnsiTheme="minorHAnsi" w:cstheme="minorBidi"/>
          <w:sz w:val="22"/>
          <w:szCs w:val="22"/>
        </w:rPr>
        <w:t xml:space="preserve">Liebe et al (2016) Context effects and the temporal stability of stated preferences. </w:t>
      </w:r>
      <w:r w:rsidRPr="1CE769A4">
        <w:rPr>
          <w:rStyle w:val="cf01"/>
          <w:rFonts w:asciiTheme="minorHAnsi" w:hAnsiTheme="minorHAnsi" w:cstheme="minorBidi"/>
          <w:i/>
          <w:iCs/>
          <w:sz w:val="22"/>
          <w:szCs w:val="22"/>
        </w:rPr>
        <w:t>Soc Sci Res</w:t>
      </w:r>
      <w:r w:rsidRPr="1CE769A4">
        <w:rPr>
          <w:rStyle w:val="cf01"/>
          <w:rFonts w:asciiTheme="minorHAnsi" w:hAnsiTheme="minorHAnsi" w:cstheme="minorBidi"/>
          <w:sz w:val="22"/>
          <w:szCs w:val="22"/>
        </w:rPr>
        <w:t xml:space="preserve"> 60:135–147. </w:t>
      </w:r>
      <w:hyperlink r:id="rId20">
        <w:r w:rsidRPr="1CE769A4">
          <w:rPr>
            <w:rStyle w:val="Hyperlink"/>
            <w:rFonts w:asciiTheme="minorHAnsi" w:hAnsiTheme="minorHAnsi" w:cstheme="minorBidi"/>
            <w:sz w:val="22"/>
            <w:szCs w:val="22"/>
          </w:rPr>
          <w:t>https://doi.org/10.1016/j.ssresearch.2016.04.013</w:t>
        </w:r>
      </w:hyperlink>
    </w:p>
    <w:p w14:paraId="7EC76BA0" w14:textId="77777777" w:rsidR="00C744F1" w:rsidRPr="005F3E2A" w:rsidRDefault="00C744F1" w:rsidP="00C744F1">
      <w:pPr>
        <w:pStyle w:val="pf0"/>
        <w:rPr>
          <w:rStyle w:val="cf01"/>
          <w:rFonts w:asciiTheme="minorHAnsi" w:hAnsiTheme="minorHAnsi" w:cstheme="minorHAnsi"/>
          <w:sz w:val="22"/>
          <w:szCs w:val="22"/>
        </w:rPr>
      </w:pPr>
      <w:r w:rsidRPr="1CE769A4">
        <w:rPr>
          <w:rStyle w:val="cf01"/>
          <w:rFonts w:asciiTheme="minorHAnsi" w:hAnsiTheme="minorHAnsi" w:cstheme="minorBidi"/>
          <w:sz w:val="22"/>
          <w:szCs w:val="22"/>
        </w:rPr>
        <w:t xml:space="preserve">Mariel P et al (2021) </w:t>
      </w:r>
      <w:r w:rsidRPr="1CE769A4">
        <w:rPr>
          <w:rStyle w:val="cf01"/>
          <w:rFonts w:asciiTheme="minorHAnsi" w:hAnsiTheme="minorHAnsi" w:cstheme="minorBidi"/>
          <w:i/>
          <w:iCs/>
          <w:sz w:val="22"/>
          <w:szCs w:val="22"/>
        </w:rPr>
        <w:t>Environmental Valuation with Discrete Choice Experiments: Guidance on Design, Implementation and Data Analysis</w:t>
      </w:r>
      <w:r w:rsidRPr="1CE769A4">
        <w:rPr>
          <w:rStyle w:val="cf01"/>
          <w:rFonts w:asciiTheme="minorHAnsi" w:hAnsiTheme="minorHAnsi" w:cstheme="minorBidi"/>
          <w:sz w:val="22"/>
          <w:szCs w:val="22"/>
        </w:rPr>
        <w:t>. Switzerland: Springer.</w:t>
      </w:r>
    </w:p>
    <w:p w14:paraId="4378E3F8" w14:textId="68253C45" w:rsidR="00C744F1" w:rsidRPr="005F3E2A" w:rsidRDefault="62B78DA1" w:rsidP="50F8DD03">
      <w:pPr>
        <w:pStyle w:val="pf0"/>
        <w:rPr>
          <w:rStyle w:val="xcf01"/>
          <w:rFonts w:asciiTheme="minorHAnsi" w:hAnsiTheme="minorHAnsi" w:cstheme="minorBidi"/>
          <w:color w:val="222222"/>
          <w:sz w:val="22"/>
          <w:szCs w:val="22"/>
          <w:bdr w:val="none" w:sz="0" w:space="0" w:color="auto" w:frame="1"/>
          <w:shd w:val="clear" w:color="auto" w:fill="FFFFFF"/>
        </w:rPr>
      </w:pPr>
      <w:r w:rsidRPr="50F8DD03">
        <w:rPr>
          <w:rStyle w:val="xcf01"/>
          <w:rFonts w:asciiTheme="minorHAnsi" w:hAnsiTheme="minorHAnsi" w:cstheme="minorBidi"/>
          <w:color w:val="222222"/>
          <w:sz w:val="22"/>
          <w:szCs w:val="22"/>
          <w:bdr w:val="none" w:sz="0" w:space="0" w:color="auto" w:frame="1"/>
          <w:shd w:val="clear" w:color="auto" w:fill="FFFFFF"/>
        </w:rPr>
        <w:t xml:space="preserve">Moro, M., Fischer, A., Milner‐Gulland, E.J., Lowassa, A., Naiman, L.C. and Hanley, N. </w:t>
      </w:r>
      <w:r w:rsidR="0C25A0D9" w:rsidRPr="50F8DD03">
        <w:rPr>
          <w:rStyle w:val="xcf01"/>
          <w:rFonts w:asciiTheme="minorHAnsi" w:hAnsiTheme="minorHAnsi" w:cstheme="minorBidi"/>
          <w:color w:val="222222"/>
          <w:sz w:val="22"/>
          <w:szCs w:val="22"/>
          <w:bdr w:val="none" w:sz="0" w:space="0" w:color="auto" w:frame="1"/>
          <w:shd w:val="clear" w:color="auto" w:fill="FFFFFF"/>
        </w:rPr>
        <w:t>(</w:t>
      </w:r>
      <w:r w:rsidRPr="50F8DD03">
        <w:rPr>
          <w:rStyle w:val="xcf01"/>
          <w:rFonts w:asciiTheme="minorHAnsi" w:hAnsiTheme="minorHAnsi" w:cstheme="minorBidi"/>
          <w:color w:val="222222"/>
          <w:sz w:val="22"/>
          <w:szCs w:val="22"/>
          <w:bdr w:val="none" w:sz="0" w:space="0" w:color="auto" w:frame="1"/>
          <w:shd w:val="clear" w:color="auto" w:fill="FFFFFF"/>
        </w:rPr>
        <w:t>2015</w:t>
      </w:r>
      <w:r w:rsidR="0C25A0D9" w:rsidRPr="50F8DD03">
        <w:rPr>
          <w:rStyle w:val="xcf01"/>
          <w:rFonts w:asciiTheme="minorHAnsi" w:hAnsiTheme="minorHAnsi" w:cstheme="minorBidi"/>
          <w:color w:val="222222"/>
          <w:sz w:val="22"/>
          <w:szCs w:val="22"/>
          <w:bdr w:val="none" w:sz="0" w:space="0" w:color="auto" w:frame="1"/>
          <w:shd w:val="clear" w:color="auto" w:fill="FFFFFF"/>
        </w:rPr>
        <w:t>),</w:t>
      </w:r>
      <w:r w:rsidRPr="50F8DD03">
        <w:rPr>
          <w:rStyle w:val="xcf01"/>
          <w:rFonts w:asciiTheme="minorHAnsi" w:hAnsiTheme="minorHAnsi" w:cstheme="minorBidi"/>
          <w:color w:val="222222"/>
          <w:sz w:val="22"/>
          <w:szCs w:val="22"/>
          <w:bdr w:val="none" w:sz="0" w:space="0" w:color="auto" w:frame="1"/>
          <w:shd w:val="clear" w:color="auto" w:fill="FFFFFF"/>
        </w:rPr>
        <w:t xml:space="preserve"> </w:t>
      </w:r>
      <w:r w:rsidR="0C25A0D9" w:rsidRPr="50F8DD03">
        <w:rPr>
          <w:rStyle w:val="xcf01"/>
          <w:rFonts w:asciiTheme="minorHAnsi" w:hAnsiTheme="minorHAnsi" w:cstheme="minorBidi"/>
          <w:color w:val="222222"/>
          <w:sz w:val="22"/>
          <w:szCs w:val="22"/>
          <w:bdr w:val="none" w:sz="0" w:space="0" w:color="auto" w:frame="1"/>
          <w:shd w:val="clear" w:color="auto" w:fill="FFFFFF"/>
        </w:rPr>
        <w:t>‘</w:t>
      </w:r>
      <w:r w:rsidRPr="50F8DD03">
        <w:rPr>
          <w:rStyle w:val="xcf01"/>
          <w:rFonts w:asciiTheme="minorHAnsi" w:hAnsiTheme="minorHAnsi" w:cstheme="minorBidi"/>
          <w:color w:val="222222"/>
          <w:sz w:val="22"/>
          <w:szCs w:val="22"/>
          <w:bdr w:val="none" w:sz="0" w:space="0" w:color="auto" w:frame="1"/>
          <w:shd w:val="clear" w:color="auto" w:fill="FFFFFF"/>
        </w:rPr>
        <w:t>A stated preference investigation of household demand for illegally hunted bushmeat in the Serengeti, Tanzania</w:t>
      </w:r>
      <w:r w:rsidR="0C25A0D9" w:rsidRPr="50F8DD03">
        <w:rPr>
          <w:rStyle w:val="xcf01"/>
          <w:rFonts w:asciiTheme="minorHAnsi" w:hAnsiTheme="minorHAnsi" w:cstheme="minorBidi"/>
          <w:color w:val="222222"/>
          <w:sz w:val="22"/>
          <w:szCs w:val="22"/>
          <w:bdr w:val="none" w:sz="0" w:space="0" w:color="auto" w:frame="1"/>
          <w:shd w:val="clear" w:color="auto" w:fill="FFFFFF"/>
        </w:rPr>
        <w:t>’,</w:t>
      </w:r>
      <w:r w:rsidRPr="50F8DD03">
        <w:rPr>
          <w:rStyle w:val="xcf01"/>
          <w:rFonts w:asciiTheme="minorHAnsi" w:hAnsiTheme="minorHAnsi" w:cstheme="minorBidi"/>
          <w:color w:val="222222"/>
          <w:sz w:val="22"/>
          <w:szCs w:val="22"/>
          <w:bdr w:val="none" w:sz="0" w:space="0" w:color="auto" w:frame="1"/>
          <w:shd w:val="clear" w:color="auto" w:fill="FFFFFF"/>
        </w:rPr>
        <w:t> </w:t>
      </w:r>
      <w:r w:rsidRPr="50F8DD03">
        <w:rPr>
          <w:rStyle w:val="xcf11"/>
          <w:rFonts w:asciiTheme="minorHAnsi" w:hAnsiTheme="minorHAnsi" w:cstheme="minorBidi"/>
          <w:i/>
          <w:iCs/>
          <w:color w:val="222222"/>
          <w:sz w:val="22"/>
          <w:szCs w:val="22"/>
          <w:bdr w:val="none" w:sz="0" w:space="0" w:color="auto" w:frame="1"/>
          <w:shd w:val="clear" w:color="auto" w:fill="FFFFFF"/>
        </w:rPr>
        <w:t>Animal Conservation</w:t>
      </w:r>
      <w:r w:rsidRPr="50F8DD03">
        <w:rPr>
          <w:rStyle w:val="xcf01"/>
          <w:rFonts w:asciiTheme="minorHAnsi" w:hAnsiTheme="minorHAnsi" w:cstheme="minorBidi"/>
          <w:color w:val="222222"/>
          <w:sz w:val="22"/>
          <w:szCs w:val="22"/>
          <w:bdr w:val="none" w:sz="0" w:space="0" w:color="auto" w:frame="1"/>
          <w:shd w:val="clear" w:color="auto" w:fill="FFFFFF"/>
        </w:rPr>
        <w:t>, </w:t>
      </w:r>
      <w:r w:rsidRPr="50F8DD03">
        <w:rPr>
          <w:rStyle w:val="xcf11"/>
          <w:rFonts w:asciiTheme="minorHAnsi" w:hAnsiTheme="minorHAnsi" w:cstheme="minorBidi"/>
          <w:i/>
          <w:iCs/>
          <w:color w:val="222222"/>
          <w:sz w:val="22"/>
          <w:szCs w:val="22"/>
          <w:bdr w:val="none" w:sz="0" w:space="0" w:color="auto" w:frame="1"/>
          <w:shd w:val="clear" w:color="auto" w:fill="FFFFFF"/>
        </w:rPr>
        <w:t>18</w:t>
      </w:r>
      <w:r w:rsidRPr="50F8DD03">
        <w:rPr>
          <w:rStyle w:val="xcf01"/>
          <w:rFonts w:asciiTheme="minorHAnsi" w:hAnsiTheme="minorHAnsi" w:cstheme="minorBidi"/>
          <w:color w:val="222222"/>
          <w:sz w:val="22"/>
          <w:szCs w:val="22"/>
          <w:bdr w:val="none" w:sz="0" w:space="0" w:color="auto" w:frame="1"/>
          <w:shd w:val="clear" w:color="auto" w:fill="FFFFFF"/>
        </w:rPr>
        <w:t>(4), pp.377-386.</w:t>
      </w:r>
    </w:p>
    <w:p w14:paraId="0FCE6AE7" w14:textId="7EDF58B1" w:rsidR="00C744F1" w:rsidRPr="005F3E2A" w:rsidRDefault="002632A7" w:rsidP="00C744F1">
      <w:pPr>
        <w:pStyle w:val="pf0"/>
        <w:rPr>
          <w:rStyle w:val="cf01"/>
          <w:rFonts w:asciiTheme="minorHAnsi" w:hAnsiTheme="minorHAnsi" w:cstheme="minorBidi"/>
          <w:sz w:val="22"/>
          <w:szCs w:val="22"/>
        </w:rPr>
      </w:pPr>
      <w:r w:rsidRPr="1CE769A4">
        <w:rPr>
          <w:rStyle w:val="cf01"/>
          <w:rFonts w:asciiTheme="minorHAnsi" w:hAnsiTheme="minorHAnsi" w:cstheme="minorBidi"/>
          <w:sz w:val="22"/>
          <w:szCs w:val="22"/>
        </w:rPr>
        <w:t xml:space="preserve">NIESR </w:t>
      </w:r>
      <w:r w:rsidR="00C744F1" w:rsidRPr="1CE769A4">
        <w:rPr>
          <w:rStyle w:val="cf01"/>
          <w:rFonts w:asciiTheme="minorHAnsi" w:hAnsiTheme="minorHAnsi" w:cstheme="minorBidi"/>
          <w:sz w:val="22"/>
          <w:szCs w:val="22"/>
        </w:rPr>
        <w:t>(2023)</w:t>
      </w:r>
      <w:r w:rsidRPr="1CE769A4">
        <w:rPr>
          <w:rStyle w:val="cf01"/>
          <w:rFonts w:asciiTheme="minorHAnsi" w:hAnsiTheme="minorHAnsi" w:cstheme="minorBidi"/>
          <w:sz w:val="22"/>
          <w:szCs w:val="22"/>
        </w:rPr>
        <w:t>,</w:t>
      </w:r>
      <w:r w:rsidR="00C744F1" w:rsidRPr="1CE769A4">
        <w:rPr>
          <w:rStyle w:val="cf01"/>
          <w:rFonts w:asciiTheme="minorHAnsi" w:hAnsiTheme="minorHAnsi" w:cstheme="minorBidi"/>
          <w:sz w:val="22"/>
          <w:szCs w:val="22"/>
        </w:rPr>
        <w:t xml:space="preserve"> </w:t>
      </w:r>
      <w:r w:rsidR="00C744F1" w:rsidRPr="1CE769A4">
        <w:rPr>
          <w:rStyle w:val="cf01"/>
          <w:rFonts w:asciiTheme="minorHAnsi" w:hAnsiTheme="minorHAnsi" w:cstheme="minorBidi"/>
          <w:i/>
          <w:iCs/>
          <w:sz w:val="22"/>
          <w:szCs w:val="22"/>
        </w:rPr>
        <w:t>The fiscal costs and benefits of problem gambling</w:t>
      </w:r>
      <w:r w:rsidRPr="1CE769A4">
        <w:rPr>
          <w:rStyle w:val="cf01"/>
          <w:rFonts w:asciiTheme="minorHAnsi" w:hAnsiTheme="minorHAnsi" w:cstheme="minorBidi"/>
          <w:sz w:val="22"/>
          <w:szCs w:val="22"/>
        </w:rPr>
        <w:t>, National Institute of Economic and Social Research, 14 April 2023, a</w:t>
      </w:r>
      <w:r w:rsidR="00C744F1" w:rsidRPr="1CE769A4">
        <w:rPr>
          <w:rStyle w:val="cf01"/>
          <w:rFonts w:asciiTheme="minorHAnsi" w:hAnsiTheme="minorHAnsi" w:cstheme="minorBidi"/>
          <w:sz w:val="22"/>
          <w:szCs w:val="22"/>
        </w:rPr>
        <w:t>vailable at</w:t>
      </w:r>
      <w:r w:rsidR="00675B76" w:rsidRPr="1CE769A4">
        <w:rPr>
          <w:rStyle w:val="cf01"/>
          <w:rFonts w:asciiTheme="minorHAnsi" w:hAnsiTheme="minorHAnsi" w:cstheme="minorBidi"/>
          <w:sz w:val="22"/>
          <w:szCs w:val="22"/>
        </w:rPr>
        <w:t xml:space="preserve"> </w:t>
      </w:r>
      <w:hyperlink r:id="rId21">
        <w:r w:rsidR="00B83DB0" w:rsidRPr="1CE769A4">
          <w:rPr>
            <w:rStyle w:val="Hyperlink"/>
            <w:rFonts w:asciiTheme="minorHAnsi" w:hAnsiTheme="minorHAnsi" w:cstheme="minorBidi"/>
            <w:sz w:val="22"/>
            <w:szCs w:val="22"/>
          </w:rPr>
          <w:t>https://www.niesr.ac.uk/wp-content/uploads/2023/04/The-Fiscal-Costs-and-Benefits-of-Problem-Gambling-1.pdf</w:t>
        </w:r>
      </w:hyperlink>
      <w:r w:rsidR="00B83DB0" w:rsidRPr="1CE769A4">
        <w:rPr>
          <w:rStyle w:val="cf01"/>
          <w:rFonts w:asciiTheme="minorHAnsi" w:hAnsiTheme="minorHAnsi" w:cstheme="minorBidi"/>
          <w:sz w:val="22"/>
          <w:szCs w:val="22"/>
        </w:rPr>
        <w:t xml:space="preserve"> </w:t>
      </w:r>
    </w:p>
    <w:p w14:paraId="7CE7D02B" w14:textId="2432139D" w:rsidR="00C744F1" w:rsidRPr="005F3E2A" w:rsidRDefault="00C744F1" w:rsidP="00C744F1">
      <w:pPr>
        <w:pStyle w:val="pf0"/>
        <w:rPr>
          <w:rStyle w:val="cf01"/>
          <w:rFonts w:asciiTheme="minorHAnsi" w:hAnsiTheme="minorHAnsi" w:cstheme="minorBidi"/>
          <w:sz w:val="22"/>
          <w:szCs w:val="22"/>
        </w:rPr>
      </w:pPr>
      <w:r w:rsidRPr="1CE769A4">
        <w:rPr>
          <w:rStyle w:val="cf01"/>
          <w:rFonts w:asciiTheme="minorHAnsi" w:hAnsiTheme="minorHAnsi" w:cstheme="minorBidi"/>
          <w:sz w:val="22"/>
          <w:szCs w:val="22"/>
        </w:rPr>
        <w:t xml:space="preserve">NERA Economic Consulting (2021) </w:t>
      </w:r>
      <w:r w:rsidRPr="1CE769A4">
        <w:rPr>
          <w:rStyle w:val="cf01"/>
          <w:rFonts w:asciiTheme="minorHAnsi" w:hAnsiTheme="minorHAnsi" w:cstheme="minorBidi"/>
          <w:i/>
          <w:iCs/>
          <w:sz w:val="22"/>
          <w:szCs w:val="22"/>
        </w:rPr>
        <w:t>Economic Assessment of Selected House of Commons Gambling Reforms</w:t>
      </w:r>
      <w:r w:rsidRPr="1CE769A4">
        <w:rPr>
          <w:rStyle w:val="cf01"/>
          <w:rFonts w:asciiTheme="minorHAnsi" w:hAnsiTheme="minorHAnsi" w:cstheme="minorBidi"/>
          <w:sz w:val="22"/>
          <w:szCs w:val="22"/>
        </w:rPr>
        <w:t xml:space="preserve">. Available at: </w:t>
      </w:r>
      <w:hyperlink r:id="rId22">
        <w:r w:rsidRPr="1CE769A4">
          <w:rPr>
            <w:rStyle w:val="Hyperlink"/>
            <w:rFonts w:asciiTheme="minorHAnsi" w:hAnsiTheme="minorHAnsi" w:cstheme="minorBidi"/>
            <w:sz w:val="22"/>
            <w:szCs w:val="22"/>
          </w:rPr>
          <w:t>https://peers-for-gambling-reform.yolasite.com/</w:t>
        </w:r>
      </w:hyperlink>
      <w:r w:rsidRPr="1CE769A4">
        <w:rPr>
          <w:rStyle w:val="cf01"/>
          <w:rFonts w:asciiTheme="minorHAnsi" w:hAnsiTheme="minorHAnsi" w:cstheme="minorBidi"/>
          <w:sz w:val="22"/>
          <w:szCs w:val="22"/>
        </w:rPr>
        <w:t>.</w:t>
      </w:r>
    </w:p>
    <w:p w14:paraId="01D7C1D8" w14:textId="1BE50F36" w:rsidR="002632A7" w:rsidRDefault="352F50C7" w:rsidP="5B4BE494">
      <w:pPr>
        <w:pStyle w:val="pf0"/>
        <w:rPr>
          <w:rStyle w:val="cf01"/>
          <w:rFonts w:asciiTheme="minorHAnsi" w:hAnsiTheme="minorHAnsi" w:cstheme="minorBidi"/>
          <w:sz w:val="22"/>
          <w:szCs w:val="22"/>
        </w:rPr>
      </w:pPr>
      <w:r w:rsidRPr="5B4BE494">
        <w:rPr>
          <w:rFonts w:asciiTheme="minorHAnsi" w:hAnsiTheme="minorHAnsi" w:cstheme="minorBidi"/>
          <w:color w:val="3F3F3F"/>
          <w:sz w:val="22"/>
          <w:szCs w:val="22"/>
        </w:rPr>
        <w:t xml:space="preserve">OBR (2022), Betting and gaming duties, Office for Budget Responsibility, updated March 2022, </w:t>
      </w:r>
      <w:hyperlink r:id="rId23">
        <w:r w:rsidRPr="5B4BE494">
          <w:rPr>
            <w:rFonts w:asciiTheme="minorHAnsi" w:hAnsiTheme="minorHAnsi" w:cstheme="minorBidi"/>
            <w:color w:val="094FD1"/>
            <w:sz w:val="22"/>
            <w:szCs w:val="22"/>
            <w:u w:val="single"/>
          </w:rPr>
          <w:t>https://obr.uk/forecasts-in-depth/tax-by-tax-spend-by-spend/betting-gaming-duties/</w:t>
        </w:r>
      </w:hyperlink>
    </w:p>
    <w:p w14:paraId="0B4D3D14" w14:textId="4DE93654" w:rsidR="0E60AF99" w:rsidRDefault="0E60AF99" w:rsidP="5B4BE494">
      <w:pPr>
        <w:pStyle w:val="pf0"/>
        <w:rPr>
          <w:rFonts w:asciiTheme="minorHAnsi" w:hAnsiTheme="minorHAnsi" w:cstheme="minorBidi"/>
          <w:color w:val="094FD1"/>
          <w:sz w:val="22"/>
          <w:szCs w:val="22"/>
          <w:u w:val="single"/>
        </w:rPr>
      </w:pPr>
      <w:r w:rsidRPr="5B4BE494">
        <w:rPr>
          <w:rFonts w:asciiTheme="minorHAnsi" w:eastAsiaTheme="minorEastAsia" w:hAnsiTheme="minorHAnsi" w:cstheme="minorBidi"/>
          <w:sz w:val="22"/>
          <w:szCs w:val="22"/>
        </w:rPr>
        <w:t>NERA Economic Consulting (2024)</w:t>
      </w:r>
      <w:r w:rsidRPr="5B4BE494">
        <w:rPr>
          <w:rFonts w:asciiTheme="minorHAnsi" w:eastAsiaTheme="minorEastAsia" w:hAnsiTheme="minorHAnsi" w:cstheme="minorBidi"/>
          <w:i/>
          <w:iCs/>
          <w:sz w:val="22"/>
          <w:szCs w:val="22"/>
        </w:rPr>
        <w:t xml:space="preserve"> </w:t>
      </w:r>
      <w:r w:rsidR="0B6B5C33" w:rsidRPr="5B4BE494">
        <w:rPr>
          <w:rFonts w:asciiTheme="minorHAnsi" w:eastAsiaTheme="minorEastAsia" w:hAnsiTheme="minorHAnsi" w:cstheme="minorBidi"/>
          <w:i/>
          <w:iCs/>
          <w:sz w:val="22"/>
          <w:szCs w:val="22"/>
        </w:rPr>
        <w:t>Economic Assessment of Online Gambling in Great Britain Prepared for the Campaign for Fairer Gambling.</w:t>
      </w:r>
      <w:r w:rsidR="0B6B5C33" w:rsidRPr="5B4BE494">
        <w:rPr>
          <w:rFonts w:asciiTheme="minorHAnsi" w:eastAsiaTheme="minorEastAsia" w:hAnsiTheme="minorHAnsi" w:cstheme="minorBidi"/>
          <w:sz w:val="22"/>
          <w:szCs w:val="22"/>
        </w:rPr>
        <w:t xml:space="preserve"> Available at: </w:t>
      </w:r>
      <w:hyperlink r:id="rId24">
        <w:r w:rsidR="0B6B5C33" w:rsidRPr="5B4BE494">
          <w:rPr>
            <w:rStyle w:val="Hyperlink"/>
            <w:rFonts w:asciiTheme="minorHAnsi" w:eastAsiaTheme="minorEastAsia" w:hAnsiTheme="minorHAnsi" w:cstheme="minorBidi"/>
            <w:sz w:val="22"/>
            <w:szCs w:val="22"/>
          </w:rPr>
          <w:t>https://cdn.sanity.io/files/42ezp3kj/production/01361ed79749fb32bbd9e992b6bf849fd25a8b51.pdf</w:t>
        </w:r>
      </w:hyperlink>
      <w:r w:rsidR="0B6B5C33" w:rsidRPr="5B4BE494">
        <w:rPr>
          <w:rFonts w:asciiTheme="minorHAnsi" w:eastAsiaTheme="minorEastAsia" w:hAnsiTheme="minorHAnsi" w:cstheme="minorBidi"/>
          <w:sz w:val="22"/>
          <w:szCs w:val="22"/>
        </w:rPr>
        <w:t>. Accessed. 08 May 2025.</w:t>
      </w:r>
    </w:p>
    <w:p w14:paraId="78AEC8E9" w14:textId="23DEEC38" w:rsidR="1CE769A4" w:rsidRDefault="1CE769A4" w:rsidP="1CE769A4">
      <w:pPr>
        <w:pStyle w:val="pf0"/>
        <w:rPr>
          <w:rStyle w:val="cf01"/>
          <w:rFonts w:asciiTheme="minorHAnsi" w:hAnsiTheme="minorHAnsi" w:cstheme="minorBidi"/>
          <w:sz w:val="22"/>
          <w:szCs w:val="22"/>
        </w:rPr>
      </w:pPr>
    </w:p>
    <w:p w14:paraId="642A00EC" w14:textId="6000B768" w:rsidR="00C744F1" w:rsidRPr="005F3E2A" w:rsidRDefault="00675B76" w:rsidP="00C744F1">
      <w:pPr>
        <w:pStyle w:val="pf0"/>
        <w:rPr>
          <w:rStyle w:val="cf01"/>
          <w:rFonts w:asciiTheme="minorHAnsi" w:hAnsiTheme="minorHAnsi" w:cstheme="minorBidi"/>
          <w:sz w:val="22"/>
          <w:szCs w:val="22"/>
        </w:rPr>
      </w:pPr>
      <w:r w:rsidRPr="1CE769A4">
        <w:rPr>
          <w:rStyle w:val="cf01"/>
          <w:rFonts w:asciiTheme="minorHAnsi" w:hAnsiTheme="minorHAnsi" w:cstheme="minorBidi"/>
          <w:sz w:val="22"/>
          <w:szCs w:val="22"/>
        </w:rPr>
        <w:lastRenderedPageBreak/>
        <w:t>PHE/OHID</w:t>
      </w:r>
      <w:r w:rsidR="00C744F1" w:rsidRPr="1CE769A4">
        <w:rPr>
          <w:rStyle w:val="cf01"/>
          <w:rFonts w:asciiTheme="minorHAnsi" w:hAnsiTheme="minorHAnsi" w:cstheme="minorBidi"/>
          <w:sz w:val="22"/>
          <w:szCs w:val="22"/>
        </w:rPr>
        <w:t xml:space="preserve"> (2023)</w:t>
      </w:r>
      <w:r w:rsidRPr="1CE769A4">
        <w:rPr>
          <w:rStyle w:val="cf01"/>
          <w:rFonts w:asciiTheme="minorHAnsi" w:hAnsiTheme="minorHAnsi" w:cstheme="minorBidi"/>
          <w:sz w:val="22"/>
          <w:szCs w:val="22"/>
        </w:rPr>
        <w:t>,</w:t>
      </w:r>
      <w:r w:rsidR="00C744F1" w:rsidRPr="1CE769A4">
        <w:rPr>
          <w:rStyle w:val="cf01"/>
          <w:rFonts w:asciiTheme="minorHAnsi" w:hAnsiTheme="minorHAnsi" w:cstheme="minorBidi"/>
          <w:sz w:val="22"/>
          <w:szCs w:val="22"/>
        </w:rPr>
        <w:t xml:space="preserve"> </w:t>
      </w:r>
      <w:r w:rsidR="00C744F1" w:rsidRPr="1CE769A4">
        <w:rPr>
          <w:rStyle w:val="cf01"/>
          <w:rFonts w:asciiTheme="minorHAnsi" w:hAnsiTheme="minorHAnsi" w:cstheme="minorBidi"/>
          <w:i/>
          <w:iCs/>
          <w:sz w:val="22"/>
          <w:szCs w:val="22"/>
        </w:rPr>
        <w:t>Gambling-related harms evidence review: summary</w:t>
      </w:r>
      <w:r w:rsidRPr="1CE769A4">
        <w:rPr>
          <w:rStyle w:val="cf01"/>
          <w:rFonts w:asciiTheme="minorHAnsi" w:hAnsiTheme="minorHAnsi" w:cstheme="minorBidi"/>
          <w:sz w:val="22"/>
          <w:szCs w:val="22"/>
        </w:rPr>
        <w:t>, Public Health England &amp; Office for Health Improvements and Disparities, a</w:t>
      </w:r>
      <w:r w:rsidR="00C744F1" w:rsidRPr="1CE769A4">
        <w:rPr>
          <w:rStyle w:val="cf01"/>
          <w:rFonts w:asciiTheme="minorHAnsi" w:hAnsiTheme="minorHAnsi" w:cstheme="minorBidi"/>
          <w:sz w:val="22"/>
          <w:szCs w:val="22"/>
        </w:rPr>
        <w:t xml:space="preserve">vailable at: </w:t>
      </w:r>
      <w:hyperlink r:id="rId25" w:anchor=":~:text=Our%202023%20economic%20analysis%20estimated,in%202021%20to%202022%20prices">
        <w:r w:rsidR="00C744F1" w:rsidRPr="1CE769A4">
          <w:rPr>
            <w:rStyle w:val="Hyperlink"/>
            <w:rFonts w:asciiTheme="minorHAnsi" w:hAnsiTheme="minorHAnsi" w:cstheme="minorBidi"/>
            <w:sz w:val="22"/>
            <w:szCs w:val="22"/>
          </w:rPr>
          <w:t>https://www.gov.uk/government/publications/gambling-related-harms-evidence-review/gambling-related-harms-evidence-review-summary--2#:~:text=Our%202023%20economic%20analysis%20estimated,in%202021%20to%202022%20prices</w:t>
        </w:r>
      </w:hyperlink>
      <w:r w:rsidR="00C744F1" w:rsidRPr="1CE769A4">
        <w:rPr>
          <w:rStyle w:val="cf01"/>
          <w:rFonts w:asciiTheme="minorHAnsi" w:hAnsiTheme="minorHAnsi" w:cstheme="minorBidi"/>
          <w:sz w:val="22"/>
          <w:szCs w:val="22"/>
        </w:rPr>
        <w:t>).</w:t>
      </w:r>
    </w:p>
    <w:p w14:paraId="493E8850" w14:textId="36116AFC" w:rsidR="7B68C707" w:rsidRDefault="7B68C707" w:rsidP="1CE769A4">
      <w:pPr>
        <w:rPr>
          <w:rFonts w:eastAsiaTheme="minorEastAsia"/>
          <w:color w:val="222222"/>
        </w:rPr>
      </w:pPr>
      <w:r w:rsidRPr="1CE769A4">
        <w:rPr>
          <w:rFonts w:eastAsiaTheme="minorEastAsia"/>
          <w:color w:val="222222"/>
        </w:rPr>
        <w:t>Rakotonarivo, O.S., Schaafsma, M. and Hockley, N., 2016. A systematic review of the reliability and validity of discrete choice experiments in valuing non-market environmental goods. </w:t>
      </w:r>
      <w:r w:rsidRPr="1CE769A4">
        <w:rPr>
          <w:rFonts w:eastAsiaTheme="minorEastAsia"/>
          <w:i/>
          <w:iCs/>
          <w:color w:val="222222"/>
        </w:rPr>
        <w:t>Journal of environmental management</w:t>
      </w:r>
      <w:r w:rsidRPr="1CE769A4">
        <w:rPr>
          <w:rFonts w:eastAsiaTheme="minorEastAsia"/>
          <w:color w:val="222222"/>
        </w:rPr>
        <w:t>, </w:t>
      </w:r>
      <w:r w:rsidRPr="1CE769A4">
        <w:rPr>
          <w:rFonts w:eastAsiaTheme="minorEastAsia"/>
          <w:i/>
          <w:iCs/>
          <w:color w:val="222222"/>
        </w:rPr>
        <w:t>183</w:t>
      </w:r>
      <w:r w:rsidRPr="1CE769A4">
        <w:rPr>
          <w:rFonts w:eastAsiaTheme="minorEastAsia"/>
          <w:color w:val="222222"/>
        </w:rPr>
        <w:t>, pp.98-109</w:t>
      </w:r>
    </w:p>
    <w:p w14:paraId="754A22D4" w14:textId="315527FF" w:rsidR="1CE769A4" w:rsidRPr="009949CD" w:rsidRDefault="00C744F1" w:rsidP="1CE769A4">
      <w:pPr>
        <w:pStyle w:val="pf0"/>
        <w:rPr>
          <w:rStyle w:val="cf01"/>
          <w:rFonts w:asciiTheme="minorHAnsi" w:hAnsiTheme="minorHAnsi" w:cstheme="minorHAnsi"/>
          <w:color w:val="222222"/>
          <w:sz w:val="22"/>
          <w:szCs w:val="22"/>
          <w:shd w:val="clear" w:color="auto" w:fill="FFFFFF"/>
        </w:rPr>
      </w:pPr>
      <w:r w:rsidRPr="1CE769A4">
        <w:rPr>
          <w:rFonts w:asciiTheme="minorHAnsi" w:hAnsiTheme="minorHAnsi" w:cstheme="minorBidi"/>
          <w:color w:val="222222"/>
          <w:sz w:val="22"/>
          <w:szCs w:val="22"/>
          <w:shd w:val="clear" w:color="auto" w:fill="FFFFFF"/>
        </w:rPr>
        <w:t>Rockloff, M.J., Moskovsky, N., Thorne, H., Browne, M. and Bryden, G.M., 2017. Environmental factors in the choice of EGMs: A discrete choice experiment. </w:t>
      </w:r>
      <w:r w:rsidRPr="1CE769A4">
        <w:rPr>
          <w:rFonts w:asciiTheme="minorHAnsi" w:hAnsiTheme="minorHAnsi" w:cstheme="minorBidi"/>
          <w:i/>
          <w:iCs/>
          <w:color w:val="222222"/>
          <w:sz w:val="22"/>
          <w:szCs w:val="22"/>
        </w:rPr>
        <w:t>Journal of Gambling Studies</w:t>
      </w:r>
      <w:r w:rsidRPr="1CE769A4">
        <w:rPr>
          <w:rFonts w:asciiTheme="minorHAnsi" w:hAnsiTheme="minorHAnsi" w:cstheme="minorBidi"/>
          <w:color w:val="222222"/>
          <w:sz w:val="22"/>
          <w:szCs w:val="22"/>
          <w:shd w:val="clear" w:color="auto" w:fill="FFFFFF"/>
        </w:rPr>
        <w:t>, </w:t>
      </w:r>
      <w:r w:rsidRPr="1CE769A4">
        <w:rPr>
          <w:rFonts w:asciiTheme="minorHAnsi" w:hAnsiTheme="minorHAnsi" w:cstheme="minorBidi"/>
          <w:i/>
          <w:iCs/>
          <w:color w:val="222222"/>
          <w:sz w:val="22"/>
          <w:szCs w:val="22"/>
        </w:rPr>
        <w:t>33</w:t>
      </w:r>
      <w:r w:rsidRPr="1CE769A4">
        <w:rPr>
          <w:rFonts w:asciiTheme="minorHAnsi" w:hAnsiTheme="minorHAnsi" w:cstheme="minorBidi"/>
          <w:color w:val="222222"/>
          <w:sz w:val="22"/>
          <w:szCs w:val="22"/>
          <w:shd w:val="clear" w:color="auto" w:fill="FFFFFF"/>
        </w:rPr>
        <w:t>, pp.719-734.</w:t>
      </w:r>
    </w:p>
    <w:p w14:paraId="3A724EF4" w14:textId="3A7CD639" w:rsidR="00C744F1" w:rsidRPr="005F3E2A" w:rsidRDefault="00C744F1" w:rsidP="00C744F1">
      <w:pPr>
        <w:pStyle w:val="pf0"/>
        <w:rPr>
          <w:rStyle w:val="cf01"/>
          <w:rFonts w:asciiTheme="minorHAnsi" w:hAnsiTheme="minorHAnsi" w:cstheme="minorHAnsi"/>
          <w:sz w:val="22"/>
          <w:szCs w:val="22"/>
        </w:rPr>
      </w:pPr>
      <w:r w:rsidRPr="005F3E2A">
        <w:rPr>
          <w:rStyle w:val="cf01"/>
          <w:rFonts w:asciiTheme="minorHAnsi" w:hAnsiTheme="minorHAnsi" w:cstheme="minorHAnsi"/>
          <w:sz w:val="22"/>
          <w:szCs w:val="22"/>
        </w:rPr>
        <w:t>Sachdev R, Roy G, Allan G (2023) A framework for assessing the potential for a double dividend from a policy-induced reduction in alcohol consumption on the economy</w:t>
      </w:r>
      <w:r w:rsidRPr="005F3E2A">
        <w:rPr>
          <w:rStyle w:val="cf01"/>
          <w:rFonts w:asciiTheme="minorHAnsi" w:hAnsiTheme="minorHAnsi" w:cstheme="minorHAnsi"/>
          <w:i/>
          <w:iCs/>
          <w:sz w:val="22"/>
          <w:szCs w:val="22"/>
        </w:rPr>
        <w:t>, Public Health,</w:t>
      </w:r>
      <w:r w:rsidRPr="005F3E2A">
        <w:rPr>
          <w:rStyle w:val="cf01"/>
          <w:rFonts w:asciiTheme="minorHAnsi" w:hAnsiTheme="minorHAnsi" w:cstheme="minorHAnsi"/>
          <w:sz w:val="22"/>
          <w:szCs w:val="22"/>
        </w:rPr>
        <w:t xml:space="preserve"> 218: 180-185.</w:t>
      </w:r>
    </w:p>
    <w:p w14:paraId="4E4BABB9" w14:textId="449AFC0B" w:rsidR="00C744F1" w:rsidRPr="005F3E2A" w:rsidRDefault="72C65022" w:rsidP="50F8DD03">
      <w:pPr>
        <w:pStyle w:val="pf0"/>
        <w:rPr>
          <w:rStyle w:val="cf01"/>
          <w:rFonts w:asciiTheme="minorHAnsi" w:hAnsiTheme="minorHAnsi" w:cstheme="minorBidi"/>
          <w:sz w:val="22"/>
          <w:szCs w:val="22"/>
        </w:rPr>
      </w:pPr>
      <w:r w:rsidRPr="50F8DD03">
        <w:rPr>
          <w:rStyle w:val="cf01"/>
          <w:rFonts w:asciiTheme="minorHAnsi" w:hAnsiTheme="minorHAnsi" w:cstheme="minorBidi"/>
          <w:sz w:val="22"/>
          <w:szCs w:val="22"/>
        </w:rPr>
        <w:t>SMF</w:t>
      </w:r>
      <w:r w:rsidR="62B78DA1" w:rsidRPr="50F8DD03">
        <w:rPr>
          <w:rStyle w:val="cf01"/>
          <w:rFonts w:asciiTheme="minorHAnsi" w:hAnsiTheme="minorHAnsi" w:cstheme="minorBidi"/>
          <w:sz w:val="22"/>
          <w:szCs w:val="22"/>
        </w:rPr>
        <w:t xml:space="preserve"> (2021)</w:t>
      </w:r>
      <w:r w:rsidR="3C193BDD" w:rsidRPr="50F8DD03">
        <w:rPr>
          <w:rStyle w:val="cf01"/>
          <w:rFonts w:asciiTheme="minorHAnsi" w:hAnsiTheme="minorHAnsi" w:cstheme="minorBidi"/>
          <w:sz w:val="22"/>
          <w:szCs w:val="22"/>
        </w:rPr>
        <w:t>,</w:t>
      </w:r>
      <w:r w:rsidR="62B78DA1" w:rsidRPr="50F8DD03">
        <w:rPr>
          <w:rStyle w:val="cf01"/>
          <w:rFonts w:asciiTheme="minorHAnsi" w:hAnsiTheme="minorHAnsi" w:cstheme="minorBidi"/>
          <w:sz w:val="22"/>
          <w:szCs w:val="22"/>
        </w:rPr>
        <w:t xml:space="preserve"> </w:t>
      </w:r>
      <w:r w:rsidR="62B78DA1" w:rsidRPr="50F8DD03">
        <w:rPr>
          <w:rStyle w:val="cf01"/>
          <w:rFonts w:asciiTheme="minorHAnsi" w:hAnsiTheme="minorHAnsi" w:cstheme="minorBidi"/>
          <w:i/>
          <w:iCs/>
          <w:sz w:val="22"/>
          <w:szCs w:val="22"/>
        </w:rPr>
        <w:t>Double or Nothing? Assessing the economic impact of gambling</w:t>
      </w:r>
      <w:r w:rsidRPr="50F8DD03">
        <w:rPr>
          <w:rStyle w:val="cf01"/>
          <w:rFonts w:asciiTheme="minorHAnsi" w:hAnsiTheme="minorHAnsi" w:cstheme="minorBidi"/>
          <w:sz w:val="22"/>
          <w:szCs w:val="22"/>
        </w:rPr>
        <w:t>, London: Social Market Foundation, a</w:t>
      </w:r>
      <w:r w:rsidR="62B78DA1" w:rsidRPr="50F8DD03">
        <w:rPr>
          <w:rStyle w:val="cf01"/>
          <w:rFonts w:asciiTheme="minorHAnsi" w:hAnsiTheme="minorHAnsi" w:cstheme="minorBidi"/>
          <w:sz w:val="22"/>
          <w:szCs w:val="22"/>
        </w:rPr>
        <w:t xml:space="preserve">vailable at: </w:t>
      </w:r>
      <w:hyperlink r:id="rId26" w:history="1">
        <w:r w:rsidRPr="50F8DD03">
          <w:rPr>
            <w:rStyle w:val="Hyperlink"/>
            <w:rFonts w:asciiTheme="minorHAnsi" w:hAnsiTheme="minorHAnsi" w:cstheme="minorBidi"/>
            <w:sz w:val="22"/>
            <w:szCs w:val="22"/>
          </w:rPr>
          <w:t>https://www.smf.co.uk/publications/double-or-nothing/</w:t>
        </w:r>
      </w:hyperlink>
      <w:r w:rsidRPr="50F8DD03">
        <w:rPr>
          <w:rStyle w:val="cf01"/>
          <w:rFonts w:asciiTheme="minorHAnsi" w:hAnsiTheme="minorHAnsi" w:cstheme="minorBidi"/>
          <w:sz w:val="22"/>
          <w:szCs w:val="22"/>
        </w:rPr>
        <w:t xml:space="preserve"> </w:t>
      </w:r>
    </w:p>
    <w:p w14:paraId="4807C42E" w14:textId="77777777" w:rsidR="00C744F1" w:rsidRPr="005F3E2A" w:rsidRDefault="00C744F1" w:rsidP="00C744F1">
      <w:pPr>
        <w:pStyle w:val="pf0"/>
        <w:rPr>
          <w:rStyle w:val="cf01"/>
          <w:rFonts w:asciiTheme="minorHAnsi" w:hAnsiTheme="minorHAnsi" w:cstheme="minorHAnsi"/>
          <w:sz w:val="22"/>
          <w:szCs w:val="22"/>
        </w:rPr>
      </w:pPr>
      <w:r w:rsidRPr="1CE769A4">
        <w:rPr>
          <w:rStyle w:val="cf01"/>
          <w:rFonts w:asciiTheme="minorHAnsi" w:hAnsiTheme="minorHAnsi" w:cstheme="minorBidi"/>
          <w:sz w:val="22"/>
          <w:szCs w:val="22"/>
        </w:rPr>
        <w:t>Thorsten Teichert, Alexander Graf, Thomas B. Swanton &amp; Sally M.</w:t>
      </w:r>
      <w:r w:rsidRPr="1CE769A4">
        <w:rPr>
          <w:rFonts w:asciiTheme="minorHAnsi" w:hAnsiTheme="minorHAnsi" w:cstheme="minorBidi"/>
          <w:sz w:val="22"/>
          <w:szCs w:val="22"/>
        </w:rPr>
        <w:t xml:space="preserve"> </w:t>
      </w:r>
      <w:r w:rsidRPr="1CE769A4">
        <w:rPr>
          <w:rStyle w:val="cf01"/>
          <w:rFonts w:asciiTheme="minorHAnsi" w:hAnsiTheme="minorHAnsi" w:cstheme="minorBidi"/>
          <w:sz w:val="22"/>
          <w:szCs w:val="22"/>
        </w:rPr>
        <w:t>Gainsbury (2021) The joint influence of regulatory and social cues on consumer choice of</w:t>
      </w:r>
      <w:r w:rsidRPr="1CE769A4">
        <w:rPr>
          <w:rFonts w:asciiTheme="minorHAnsi" w:hAnsiTheme="minorHAnsi" w:cstheme="minorBidi"/>
          <w:sz w:val="22"/>
          <w:szCs w:val="22"/>
        </w:rPr>
        <w:t xml:space="preserve"> </w:t>
      </w:r>
      <w:r w:rsidRPr="1CE769A4">
        <w:rPr>
          <w:rStyle w:val="cf01"/>
          <w:rFonts w:asciiTheme="minorHAnsi" w:hAnsiTheme="minorHAnsi" w:cstheme="minorBidi"/>
          <w:sz w:val="22"/>
          <w:szCs w:val="22"/>
        </w:rPr>
        <w:t xml:space="preserve">gambling websites: preliminary evidence from a discrete choice experiment, </w:t>
      </w:r>
      <w:r w:rsidRPr="1CE769A4">
        <w:rPr>
          <w:rStyle w:val="cf01"/>
          <w:rFonts w:asciiTheme="minorHAnsi" w:hAnsiTheme="minorHAnsi" w:cstheme="minorBidi"/>
          <w:i/>
          <w:iCs/>
          <w:sz w:val="22"/>
          <w:szCs w:val="22"/>
        </w:rPr>
        <w:t>International</w:t>
      </w:r>
      <w:r w:rsidRPr="1CE769A4">
        <w:rPr>
          <w:rFonts w:asciiTheme="minorHAnsi" w:hAnsiTheme="minorHAnsi" w:cstheme="minorBidi"/>
          <w:i/>
          <w:iCs/>
          <w:sz w:val="22"/>
          <w:szCs w:val="22"/>
        </w:rPr>
        <w:t xml:space="preserve"> </w:t>
      </w:r>
      <w:r w:rsidRPr="1CE769A4">
        <w:rPr>
          <w:rStyle w:val="cf01"/>
          <w:rFonts w:asciiTheme="minorHAnsi" w:hAnsiTheme="minorHAnsi" w:cstheme="minorBidi"/>
          <w:i/>
          <w:iCs/>
          <w:sz w:val="22"/>
          <w:szCs w:val="22"/>
        </w:rPr>
        <w:t>Gambling Studies</w:t>
      </w:r>
      <w:r w:rsidRPr="1CE769A4">
        <w:rPr>
          <w:rStyle w:val="cf01"/>
          <w:rFonts w:asciiTheme="minorHAnsi" w:hAnsiTheme="minorHAnsi" w:cstheme="minorBidi"/>
          <w:sz w:val="22"/>
          <w:szCs w:val="22"/>
        </w:rPr>
        <w:t>, 21:3, 480-497, DOI: 10.1080/14459795.2021.1921011</w:t>
      </w:r>
    </w:p>
    <w:p w14:paraId="6CFDE8BB" w14:textId="77777777" w:rsidR="00C744F1" w:rsidRPr="005F3E2A" w:rsidRDefault="00C744F1" w:rsidP="00C744F1">
      <w:pPr>
        <w:pStyle w:val="pf0"/>
        <w:rPr>
          <w:rStyle w:val="cf01"/>
          <w:rFonts w:asciiTheme="minorHAnsi" w:hAnsiTheme="minorHAnsi" w:cstheme="minorHAnsi"/>
          <w:sz w:val="22"/>
          <w:szCs w:val="22"/>
        </w:rPr>
      </w:pPr>
      <w:r w:rsidRPr="005F3E2A">
        <w:rPr>
          <w:rStyle w:val="cf01"/>
          <w:rFonts w:asciiTheme="minorHAnsi" w:hAnsiTheme="minorHAnsi" w:cstheme="minorHAnsi"/>
          <w:sz w:val="22"/>
          <w:szCs w:val="22"/>
        </w:rPr>
        <w:t xml:space="preserve">Wardle et al, 2011 </w:t>
      </w:r>
      <w:r w:rsidRPr="005F3E2A">
        <w:rPr>
          <w:rStyle w:val="cf01"/>
          <w:rFonts w:asciiTheme="minorHAnsi" w:hAnsiTheme="minorHAnsi" w:cstheme="minorHAnsi"/>
          <w:i/>
          <w:iCs/>
          <w:sz w:val="22"/>
          <w:szCs w:val="22"/>
        </w:rPr>
        <w:t>British Gambling Prevalence Survey 2010.</w:t>
      </w:r>
      <w:r w:rsidRPr="005F3E2A">
        <w:rPr>
          <w:rStyle w:val="cf01"/>
          <w:rFonts w:asciiTheme="minorHAnsi" w:hAnsiTheme="minorHAnsi" w:cstheme="minorHAnsi"/>
          <w:sz w:val="22"/>
          <w:szCs w:val="22"/>
        </w:rPr>
        <w:t xml:space="preserve"> Birmingham: Gambling Commission.</w:t>
      </w:r>
    </w:p>
    <w:p w14:paraId="63D64DD6" w14:textId="14780112" w:rsidR="00C744F1" w:rsidRDefault="00C744F1" w:rsidP="00C744F1">
      <w:pPr>
        <w:pStyle w:val="pf0"/>
        <w:rPr>
          <w:rStyle w:val="cf01"/>
          <w:rFonts w:asciiTheme="minorHAnsi" w:hAnsiTheme="minorHAnsi" w:cstheme="minorHAnsi"/>
          <w:sz w:val="22"/>
          <w:szCs w:val="22"/>
        </w:rPr>
      </w:pPr>
      <w:r w:rsidRPr="005F3E2A">
        <w:rPr>
          <w:rStyle w:val="cf01"/>
          <w:rFonts w:asciiTheme="minorHAnsi" w:hAnsiTheme="minorHAnsi" w:cstheme="minorHAnsi"/>
          <w:sz w:val="22"/>
          <w:szCs w:val="22"/>
        </w:rPr>
        <w:t xml:space="preserve">van den Broek-Altenburg, E., Atherly, A. Using discrete choice experiments to measure preferences for hard to observe choice attributes to inform health policy decisions. </w:t>
      </w:r>
      <w:r w:rsidRPr="005F3E2A">
        <w:rPr>
          <w:rStyle w:val="cf01"/>
          <w:rFonts w:asciiTheme="minorHAnsi" w:hAnsiTheme="minorHAnsi" w:cstheme="minorHAnsi"/>
          <w:i/>
          <w:iCs/>
          <w:sz w:val="22"/>
          <w:szCs w:val="22"/>
        </w:rPr>
        <w:t>Health Econ Rev</w:t>
      </w:r>
      <w:r w:rsidRPr="005F3E2A">
        <w:rPr>
          <w:rStyle w:val="cf01"/>
          <w:rFonts w:asciiTheme="minorHAnsi" w:hAnsiTheme="minorHAnsi" w:cstheme="minorHAnsi"/>
          <w:sz w:val="22"/>
          <w:szCs w:val="22"/>
        </w:rPr>
        <w:t xml:space="preserve"> 10, 18 (2020). </w:t>
      </w:r>
      <w:hyperlink r:id="rId27" w:history="1">
        <w:r w:rsidR="000766A8" w:rsidRPr="00F91175">
          <w:rPr>
            <w:rStyle w:val="Hyperlink"/>
            <w:rFonts w:asciiTheme="minorHAnsi" w:hAnsiTheme="minorHAnsi" w:cstheme="minorHAnsi"/>
            <w:sz w:val="22"/>
            <w:szCs w:val="22"/>
          </w:rPr>
          <w:t>https://doi.org/10.1186/s13561-020-00276-x</w:t>
        </w:r>
      </w:hyperlink>
    </w:p>
    <w:p w14:paraId="7AADE1BE" w14:textId="16F3A629" w:rsidR="000766A8" w:rsidRDefault="000766A8" w:rsidP="1CE769A4">
      <w:pPr>
        <w:rPr>
          <w:rFonts w:eastAsiaTheme="minorEastAsia"/>
          <w:color w:val="222222"/>
        </w:rPr>
      </w:pPr>
      <w:r w:rsidRPr="1CE769A4">
        <w:rPr>
          <w:rFonts w:eastAsiaTheme="minorEastAsia"/>
          <w:color w:val="222222"/>
        </w:rPr>
        <w:t>van den Broek-Altenburg, E. and Atherly, A., 2020. Using discrete choice experiments to measure preferences for hard to observe choice attributes to inform health policy decisions. </w:t>
      </w:r>
      <w:r w:rsidRPr="1CE769A4">
        <w:rPr>
          <w:rFonts w:eastAsiaTheme="minorEastAsia"/>
          <w:i/>
          <w:iCs/>
          <w:color w:val="222222"/>
        </w:rPr>
        <w:t>Health economics review</w:t>
      </w:r>
      <w:r w:rsidRPr="1CE769A4">
        <w:rPr>
          <w:rFonts w:eastAsiaTheme="minorEastAsia"/>
          <w:color w:val="222222"/>
        </w:rPr>
        <w:t>, </w:t>
      </w:r>
      <w:r w:rsidRPr="1CE769A4">
        <w:rPr>
          <w:rFonts w:eastAsiaTheme="minorEastAsia"/>
          <w:i/>
          <w:iCs/>
          <w:color w:val="222222"/>
        </w:rPr>
        <w:t>10</w:t>
      </w:r>
      <w:r w:rsidRPr="1CE769A4">
        <w:rPr>
          <w:rFonts w:eastAsiaTheme="minorEastAsia"/>
          <w:color w:val="222222"/>
        </w:rPr>
        <w:t>(1), pp.1-8</w:t>
      </w:r>
    </w:p>
    <w:p w14:paraId="007EB997" w14:textId="2F136BF4" w:rsidR="000766A8" w:rsidRDefault="000766A8" w:rsidP="1CE769A4">
      <w:pPr>
        <w:pStyle w:val="pf0"/>
        <w:rPr>
          <w:rStyle w:val="cf01"/>
          <w:rFonts w:asciiTheme="minorHAnsi" w:hAnsiTheme="minorHAnsi" w:cstheme="minorBidi"/>
          <w:sz w:val="22"/>
          <w:szCs w:val="22"/>
        </w:rPr>
      </w:pPr>
    </w:p>
    <w:sectPr w:rsidR="000766A8">
      <w:footerReference w:type="even"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0D13" w14:textId="77777777" w:rsidR="00FD3CB5" w:rsidRDefault="00FD3CB5" w:rsidP="006207A3">
      <w:pPr>
        <w:spacing w:after="0" w:line="240" w:lineRule="auto"/>
      </w:pPr>
      <w:r>
        <w:separator/>
      </w:r>
    </w:p>
  </w:endnote>
  <w:endnote w:type="continuationSeparator" w:id="0">
    <w:p w14:paraId="74C6CB43" w14:textId="77777777" w:rsidR="00FD3CB5" w:rsidRDefault="00FD3CB5" w:rsidP="006207A3">
      <w:pPr>
        <w:spacing w:after="0" w:line="240" w:lineRule="auto"/>
      </w:pPr>
      <w:r>
        <w:continuationSeparator/>
      </w:r>
    </w:p>
  </w:endnote>
  <w:endnote w:type="continuationNotice" w:id="1">
    <w:p w14:paraId="473B67E1" w14:textId="77777777" w:rsidR="00FD3CB5" w:rsidRDefault="00FD3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3755207"/>
      <w:docPartObj>
        <w:docPartGallery w:val="Page Numbers (Bottom of Page)"/>
        <w:docPartUnique/>
      </w:docPartObj>
    </w:sdtPr>
    <w:sdtContent>
      <w:p w14:paraId="08F03CB6" w14:textId="0E841322" w:rsidR="006207A3" w:rsidRDefault="006207A3" w:rsidP="004459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C67E82" w14:textId="77777777" w:rsidR="006207A3" w:rsidRDefault="006207A3" w:rsidP="004459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6541130"/>
      <w:docPartObj>
        <w:docPartGallery w:val="Page Numbers (Bottom of Page)"/>
        <w:docPartUnique/>
      </w:docPartObj>
    </w:sdtPr>
    <w:sdtContent>
      <w:p w14:paraId="40B974C4" w14:textId="29B3802F" w:rsidR="006207A3" w:rsidRDefault="006207A3" w:rsidP="004459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DD4554" w14:textId="77777777" w:rsidR="006207A3" w:rsidRDefault="006207A3" w:rsidP="004459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1699" w14:textId="77777777" w:rsidR="00FD3CB5" w:rsidRDefault="00FD3CB5" w:rsidP="006207A3">
      <w:pPr>
        <w:spacing w:after="0" w:line="240" w:lineRule="auto"/>
      </w:pPr>
      <w:r>
        <w:separator/>
      </w:r>
    </w:p>
  </w:footnote>
  <w:footnote w:type="continuationSeparator" w:id="0">
    <w:p w14:paraId="5004BA50" w14:textId="77777777" w:rsidR="00FD3CB5" w:rsidRDefault="00FD3CB5" w:rsidP="006207A3">
      <w:pPr>
        <w:spacing w:after="0" w:line="240" w:lineRule="auto"/>
      </w:pPr>
      <w:r>
        <w:continuationSeparator/>
      </w:r>
    </w:p>
  </w:footnote>
  <w:footnote w:type="continuationNotice" w:id="1">
    <w:p w14:paraId="39D61988" w14:textId="77777777" w:rsidR="00FD3CB5" w:rsidRDefault="00FD3C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5B6"/>
    <w:multiLevelType w:val="hybridMultilevel"/>
    <w:tmpl w:val="167E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E0720E"/>
    <w:multiLevelType w:val="hybridMultilevel"/>
    <w:tmpl w:val="B8A87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534467"/>
    <w:multiLevelType w:val="hybridMultilevel"/>
    <w:tmpl w:val="AC0CC0AA"/>
    <w:lvl w:ilvl="0" w:tplc="EC449DEC">
      <w:start w:val="1"/>
      <w:numFmt w:val="bullet"/>
      <w:lvlText w:val=""/>
      <w:lvlJc w:val="left"/>
      <w:pPr>
        <w:ind w:left="1440" w:hanging="360"/>
      </w:pPr>
      <w:rPr>
        <w:rFonts w:ascii="Symbol" w:hAnsi="Symbol"/>
      </w:rPr>
    </w:lvl>
    <w:lvl w:ilvl="1" w:tplc="F0BE49D0">
      <w:start w:val="1"/>
      <w:numFmt w:val="bullet"/>
      <w:lvlText w:val=""/>
      <w:lvlJc w:val="left"/>
      <w:pPr>
        <w:ind w:left="1440" w:hanging="360"/>
      </w:pPr>
      <w:rPr>
        <w:rFonts w:ascii="Symbol" w:hAnsi="Symbol"/>
      </w:rPr>
    </w:lvl>
    <w:lvl w:ilvl="2" w:tplc="0ECC0F96">
      <w:start w:val="1"/>
      <w:numFmt w:val="bullet"/>
      <w:lvlText w:val=""/>
      <w:lvlJc w:val="left"/>
      <w:pPr>
        <w:ind w:left="1440" w:hanging="360"/>
      </w:pPr>
      <w:rPr>
        <w:rFonts w:ascii="Symbol" w:hAnsi="Symbol"/>
      </w:rPr>
    </w:lvl>
    <w:lvl w:ilvl="3" w:tplc="2884C63C">
      <w:start w:val="1"/>
      <w:numFmt w:val="bullet"/>
      <w:lvlText w:val=""/>
      <w:lvlJc w:val="left"/>
      <w:pPr>
        <w:ind w:left="1440" w:hanging="360"/>
      </w:pPr>
      <w:rPr>
        <w:rFonts w:ascii="Symbol" w:hAnsi="Symbol"/>
      </w:rPr>
    </w:lvl>
    <w:lvl w:ilvl="4" w:tplc="98300160">
      <w:start w:val="1"/>
      <w:numFmt w:val="bullet"/>
      <w:lvlText w:val=""/>
      <w:lvlJc w:val="left"/>
      <w:pPr>
        <w:ind w:left="1440" w:hanging="360"/>
      </w:pPr>
      <w:rPr>
        <w:rFonts w:ascii="Symbol" w:hAnsi="Symbol"/>
      </w:rPr>
    </w:lvl>
    <w:lvl w:ilvl="5" w:tplc="254C5A08">
      <w:start w:val="1"/>
      <w:numFmt w:val="bullet"/>
      <w:lvlText w:val=""/>
      <w:lvlJc w:val="left"/>
      <w:pPr>
        <w:ind w:left="1440" w:hanging="360"/>
      </w:pPr>
      <w:rPr>
        <w:rFonts w:ascii="Symbol" w:hAnsi="Symbol"/>
      </w:rPr>
    </w:lvl>
    <w:lvl w:ilvl="6" w:tplc="529CC0C8">
      <w:start w:val="1"/>
      <w:numFmt w:val="bullet"/>
      <w:lvlText w:val=""/>
      <w:lvlJc w:val="left"/>
      <w:pPr>
        <w:ind w:left="1440" w:hanging="360"/>
      </w:pPr>
      <w:rPr>
        <w:rFonts w:ascii="Symbol" w:hAnsi="Symbol"/>
      </w:rPr>
    </w:lvl>
    <w:lvl w:ilvl="7" w:tplc="307ED994">
      <w:start w:val="1"/>
      <w:numFmt w:val="bullet"/>
      <w:lvlText w:val=""/>
      <w:lvlJc w:val="left"/>
      <w:pPr>
        <w:ind w:left="1440" w:hanging="360"/>
      </w:pPr>
      <w:rPr>
        <w:rFonts w:ascii="Symbol" w:hAnsi="Symbol"/>
      </w:rPr>
    </w:lvl>
    <w:lvl w:ilvl="8" w:tplc="C3F06FB6">
      <w:start w:val="1"/>
      <w:numFmt w:val="bullet"/>
      <w:lvlText w:val=""/>
      <w:lvlJc w:val="left"/>
      <w:pPr>
        <w:ind w:left="1440" w:hanging="360"/>
      </w:pPr>
      <w:rPr>
        <w:rFonts w:ascii="Symbol" w:hAnsi="Symbol"/>
      </w:rPr>
    </w:lvl>
  </w:abstractNum>
  <w:abstractNum w:abstractNumId="3" w15:restartNumberingAfterBreak="0">
    <w:nsid w:val="687F2612"/>
    <w:multiLevelType w:val="hybridMultilevel"/>
    <w:tmpl w:val="5972CBC0"/>
    <w:lvl w:ilvl="0" w:tplc="01CC4A52">
      <w:start w:val="1"/>
      <w:numFmt w:val="bullet"/>
      <w:lvlText w:val=""/>
      <w:lvlJc w:val="left"/>
      <w:pPr>
        <w:ind w:left="1440" w:hanging="360"/>
      </w:pPr>
      <w:rPr>
        <w:rFonts w:ascii="Symbol" w:hAnsi="Symbol"/>
      </w:rPr>
    </w:lvl>
    <w:lvl w:ilvl="1" w:tplc="C2E6672A">
      <w:start w:val="1"/>
      <w:numFmt w:val="bullet"/>
      <w:lvlText w:val=""/>
      <w:lvlJc w:val="left"/>
      <w:pPr>
        <w:ind w:left="1440" w:hanging="360"/>
      </w:pPr>
      <w:rPr>
        <w:rFonts w:ascii="Symbol" w:hAnsi="Symbol"/>
      </w:rPr>
    </w:lvl>
    <w:lvl w:ilvl="2" w:tplc="1630B1BC">
      <w:start w:val="1"/>
      <w:numFmt w:val="bullet"/>
      <w:lvlText w:val=""/>
      <w:lvlJc w:val="left"/>
      <w:pPr>
        <w:ind w:left="1440" w:hanging="360"/>
      </w:pPr>
      <w:rPr>
        <w:rFonts w:ascii="Symbol" w:hAnsi="Symbol"/>
      </w:rPr>
    </w:lvl>
    <w:lvl w:ilvl="3" w:tplc="12BCFF42">
      <w:start w:val="1"/>
      <w:numFmt w:val="bullet"/>
      <w:lvlText w:val=""/>
      <w:lvlJc w:val="left"/>
      <w:pPr>
        <w:ind w:left="1440" w:hanging="360"/>
      </w:pPr>
      <w:rPr>
        <w:rFonts w:ascii="Symbol" w:hAnsi="Symbol"/>
      </w:rPr>
    </w:lvl>
    <w:lvl w:ilvl="4" w:tplc="1F824866">
      <w:start w:val="1"/>
      <w:numFmt w:val="bullet"/>
      <w:lvlText w:val=""/>
      <w:lvlJc w:val="left"/>
      <w:pPr>
        <w:ind w:left="1440" w:hanging="360"/>
      </w:pPr>
      <w:rPr>
        <w:rFonts w:ascii="Symbol" w:hAnsi="Symbol"/>
      </w:rPr>
    </w:lvl>
    <w:lvl w:ilvl="5" w:tplc="E31C6B8C">
      <w:start w:val="1"/>
      <w:numFmt w:val="bullet"/>
      <w:lvlText w:val=""/>
      <w:lvlJc w:val="left"/>
      <w:pPr>
        <w:ind w:left="1440" w:hanging="360"/>
      </w:pPr>
      <w:rPr>
        <w:rFonts w:ascii="Symbol" w:hAnsi="Symbol"/>
      </w:rPr>
    </w:lvl>
    <w:lvl w:ilvl="6" w:tplc="4CE43634">
      <w:start w:val="1"/>
      <w:numFmt w:val="bullet"/>
      <w:lvlText w:val=""/>
      <w:lvlJc w:val="left"/>
      <w:pPr>
        <w:ind w:left="1440" w:hanging="360"/>
      </w:pPr>
      <w:rPr>
        <w:rFonts w:ascii="Symbol" w:hAnsi="Symbol"/>
      </w:rPr>
    </w:lvl>
    <w:lvl w:ilvl="7" w:tplc="C82E25BE">
      <w:start w:val="1"/>
      <w:numFmt w:val="bullet"/>
      <w:lvlText w:val=""/>
      <w:lvlJc w:val="left"/>
      <w:pPr>
        <w:ind w:left="1440" w:hanging="360"/>
      </w:pPr>
      <w:rPr>
        <w:rFonts w:ascii="Symbol" w:hAnsi="Symbol"/>
      </w:rPr>
    </w:lvl>
    <w:lvl w:ilvl="8" w:tplc="683C6276">
      <w:start w:val="1"/>
      <w:numFmt w:val="bullet"/>
      <w:lvlText w:val=""/>
      <w:lvlJc w:val="left"/>
      <w:pPr>
        <w:ind w:left="1440" w:hanging="360"/>
      </w:pPr>
      <w:rPr>
        <w:rFonts w:ascii="Symbol" w:hAnsi="Symbol"/>
      </w:rPr>
    </w:lvl>
  </w:abstractNum>
  <w:abstractNum w:abstractNumId="4" w15:restartNumberingAfterBreak="0">
    <w:nsid w:val="6B4927ED"/>
    <w:multiLevelType w:val="hybridMultilevel"/>
    <w:tmpl w:val="EF82E27E"/>
    <w:lvl w:ilvl="0" w:tplc="A4E2068A">
      <w:start w:val="1"/>
      <w:numFmt w:val="bullet"/>
      <w:lvlText w:val=""/>
      <w:lvlJc w:val="left"/>
      <w:pPr>
        <w:ind w:left="1440" w:hanging="360"/>
      </w:pPr>
      <w:rPr>
        <w:rFonts w:ascii="Symbol" w:hAnsi="Symbol"/>
      </w:rPr>
    </w:lvl>
    <w:lvl w:ilvl="1" w:tplc="4154C29A">
      <w:start w:val="1"/>
      <w:numFmt w:val="bullet"/>
      <w:lvlText w:val=""/>
      <w:lvlJc w:val="left"/>
      <w:pPr>
        <w:ind w:left="1440" w:hanging="360"/>
      </w:pPr>
      <w:rPr>
        <w:rFonts w:ascii="Symbol" w:hAnsi="Symbol"/>
      </w:rPr>
    </w:lvl>
    <w:lvl w:ilvl="2" w:tplc="0BE00008">
      <w:start w:val="1"/>
      <w:numFmt w:val="bullet"/>
      <w:lvlText w:val=""/>
      <w:lvlJc w:val="left"/>
      <w:pPr>
        <w:ind w:left="1440" w:hanging="360"/>
      </w:pPr>
      <w:rPr>
        <w:rFonts w:ascii="Symbol" w:hAnsi="Symbol"/>
      </w:rPr>
    </w:lvl>
    <w:lvl w:ilvl="3" w:tplc="90AEE142">
      <w:start w:val="1"/>
      <w:numFmt w:val="bullet"/>
      <w:lvlText w:val=""/>
      <w:lvlJc w:val="left"/>
      <w:pPr>
        <w:ind w:left="1440" w:hanging="360"/>
      </w:pPr>
      <w:rPr>
        <w:rFonts w:ascii="Symbol" w:hAnsi="Symbol"/>
      </w:rPr>
    </w:lvl>
    <w:lvl w:ilvl="4" w:tplc="2E8C0462">
      <w:start w:val="1"/>
      <w:numFmt w:val="bullet"/>
      <w:lvlText w:val=""/>
      <w:lvlJc w:val="left"/>
      <w:pPr>
        <w:ind w:left="1440" w:hanging="360"/>
      </w:pPr>
      <w:rPr>
        <w:rFonts w:ascii="Symbol" w:hAnsi="Symbol"/>
      </w:rPr>
    </w:lvl>
    <w:lvl w:ilvl="5" w:tplc="60063F32">
      <w:start w:val="1"/>
      <w:numFmt w:val="bullet"/>
      <w:lvlText w:val=""/>
      <w:lvlJc w:val="left"/>
      <w:pPr>
        <w:ind w:left="1440" w:hanging="360"/>
      </w:pPr>
      <w:rPr>
        <w:rFonts w:ascii="Symbol" w:hAnsi="Symbol"/>
      </w:rPr>
    </w:lvl>
    <w:lvl w:ilvl="6" w:tplc="DC7C16B6">
      <w:start w:val="1"/>
      <w:numFmt w:val="bullet"/>
      <w:lvlText w:val=""/>
      <w:lvlJc w:val="left"/>
      <w:pPr>
        <w:ind w:left="1440" w:hanging="360"/>
      </w:pPr>
      <w:rPr>
        <w:rFonts w:ascii="Symbol" w:hAnsi="Symbol"/>
      </w:rPr>
    </w:lvl>
    <w:lvl w:ilvl="7" w:tplc="ABAA2EDC">
      <w:start w:val="1"/>
      <w:numFmt w:val="bullet"/>
      <w:lvlText w:val=""/>
      <w:lvlJc w:val="left"/>
      <w:pPr>
        <w:ind w:left="1440" w:hanging="360"/>
      </w:pPr>
      <w:rPr>
        <w:rFonts w:ascii="Symbol" w:hAnsi="Symbol"/>
      </w:rPr>
    </w:lvl>
    <w:lvl w:ilvl="8" w:tplc="144600E4">
      <w:start w:val="1"/>
      <w:numFmt w:val="bullet"/>
      <w:lvlText w:val=""/>
      <w:lvlJc w:val="left"/>
      <w:pPr>
        <w:ind w:left="1440" w:hanging="360"/>
      </w:pPr>
      <w:rPr>
        <w:rFonts w:ascii="Symbol" w:hAnsi="Symbol"/>
      </w:rPr>
    </w:lvl>
  </w:abstractNum>
  <w:abstractNum w:abstractNumId="5" w15:restartNumberingAfterBreak="0">
    <w:nsid w:val="6CED7CE7"/>
    <w:multiLevelType w:val="hybridMultilevel"/>
    <w:tmpl w:val="F0D84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7F5938"/>
    <w:multiLevelType w:val="hybridMultilevel"/>
    <w:tmpl w:val="DC680AD0"/>
    <w:lvl w:ilvl="0" w:tplc="492C9E6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707125">
    <w:abstractNumId w:val="0"/>
  </w:num>
  <w:num w:numId="2" w16cid:durableId="41289136">
    <w:abstractNumId w:val="5"/>
  </w:num>
  <w:num w:numId="3" w16cid:durableId="1073888441">
    <w:abstractNumId w:val="4"/>
  </w:num>
  <w:num w:numId="4" w16cid:durableId="397753515">
    <w:abstractNumId w:val="2"/>
  </w:num>
  <w:num w:numId="5" w16cid:durableId="1785074630">
    <w:abstractNumId w:val="3"/>
  </w:num>
  <w:num w:numId="6" w16cid:durableId="1030758810">
    <w:abstractNumId w:val="1"/>
  </w:num>
  <w:num w:numId="7" w16cid:durableId="1975795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S0MDUwNjW2sDSxtDRW0lEKTi0uzszPAykwqgUAnY4epiwAAAA="/>
  </w:docVars>
  <w:rsids>
    <w:rsidRoot w:val="00637A54"/>
    <w:rsid w:val="000019CC"/>
    <w:rsid w:val="00004E2B"/>
    <w:rsid w:val="000051FC"/>
    <w:rsid w:val="00007181"/>
    <w:rsid w:val="00012BED"/>
    <w:rsid w:val="00033742"/>
    <w:rsid w:val="00036999"/>
    <w:rsid w:val="00047349"/>
    <w:rsid w:val="00047E12"/>
    <w:rsid w:val="00052C6E"/>
    <w:rsid w:val="0005760C"/>
    <w:rsid w:val="00060318"/>
    <w:rsid w:val="000668EF"/>
    <w:rsid w:val="000727DE"/>
    <w:rsid w:val="00075894"/>
    <w:rsid w:val="0007668D"/>
    <w:rsid w:val="000766A8"/>
    <w:rsid w:val="00082291"/>
    <w:rsid w:val="0009129C"/>
    <w:rsid w:val="000938E2"/>
    <w:rsid w:val="00097DF4"/>
    <w:rsid w:val="000A1B1F"/>
    <w:rsid w:val="000A44DA"/>
    <w:rsid w:val="000A4A59"/>
    <w:rsid w:val="000B43EF"/>
    <w:rsid w:val="000B516B"/>
    <w:rsid w:val="000B5C8D"/>
    <w:rsid w:val="000B68F4"/>
    <w:rsid w:val="000B7B53"/>
    <w:rsid w:val="000B7F9B"/>
    <w:rsid w:val="000C4785"/>
    <w:rsid w:val="000C4A1A"/>
    <w:rsid w:val="000D1333"/>
    <w:rsid w:val="000D70B8"/>
    <w:rsid w:val="000D750A"/>
    <w:rsid w:val="000E5484"/>
    <w:rsid w:val="000E680A"/>
    <w:rsid w:val="000E7249"/>
    <w:rsid w:val="000F0B54"/>
    <w:rsid w:val="000F5F07"/>
    <w:rsid w:val="000F76A3"/>
    <w:rsid w:val="001064B4"/>
    <w:rsid w:val="00123814"/>
    <w:rsid w:val="00125FB9"/>
    <w:rsid w:val="001266DF"/>
    <w:rsid w:val="001274B2"/>
    <w:rsid w:val="001310A8"/>
    <w:rsid w:val="00131A3B"/>
    <w:rsid w:val="001339F9"/>
    <w:rsid w:val="00134A49"/>
    <w:rsid w:val="00136C09"/>
    <w:rsid w:val="00137CDA"/>
    <w:rsid w:val="001404C3"/>
    <w:rsid w:val="001452F5"/>
    <w:rsid w:val="001463F4"/>
    <w:rsid w:val="001473AC"/>
    <w:rsid w:val="00151120"/>
    <w:rsid w:val="00151D41"/>
    <w:rsid w:val="001619E0"/>
    <w:rsid w:val="001646EC"/>
    <w:rsid w:val="001669B2"/>
    <w:rsid w:val="00182AA9"/>
    <w:rsid w:val="001864E9"/>
    <w:rsid w:val="00187B16"/>
    <w:rsid w:val="00191FB4"/>
    <w:rsid w:val="00195772"/>
    <w:rsid w:val="00196097"/>
    <w:rsid w:val="00196501"/>
    <w:rsid w:val="001A298C"/>
    <w:rsid w:val="001A2A8B"/>
    <w:rsid w:val="001A32CD"/>
    <w:rsid w:val="001A3C46"/>
    <w:rsid w:val="001B36A5"/>
    <w:rsid w:val="001B5578"/>
    <w:rsid w:val="001C3C21"/>
    <w:rsid w:val="001C6E89"/>
    <w:rsid w:val="001D08A9"/>
    <w:rsid w:val="001D3E04"/>
    <w:rsid w:val="001D6EAB"/>
    <w:rsid w:val="001D7A32"/>
    <w:rsid w:val="001E1392"/>
    <w:rsid w:val="001E32EA"/>
    <w:rsid w:val="001E756E"/>
    <w:rsid w:val="001E7CB5"/>
    <w:rsid w:val="001E7F68"/>
    <w:rsid w:val="001F2890"/>
    <w:rsid w:val="001F2ECE"/>
    <w:rsid w:val="001F3625"/>
    <w:rsid w:val="001F38E1"/>
    <w:rsid w:val="002043BB"/>
    <w:rsid w:val="00204A81"/>
    <w:rsid w:val="00213C94"/>
    <w:rsid w:val="00227F83"/>
    <w:rsid w:val="002327C0"/>
    <w:rsid w:val="002330D0"/>
    <w:rsid w:val="002336DE"/>
    <w:rsid w:val="002352F7"/>
    <w:rsid w:val="0023791B"/>
    <w:rsid w:val="00242690"/>
    <w:rsid w:val="002433C5"/>
    <w:rsid w:val="002460F4"/>
    <w:rsid w:val="00247330"/>
    <w:rsid w:val="00247456"/>
    <w:rsid w:val="00253816"/>
    <w:rsid w:val="00256F8A"/>
    <w:rsid w:val="00257B96"/>
    <w:rsid w:val="002632A7"/>
    <w:rsid w:val="00263B5B"/>
    <w:rsid w:val="0027088B"/>
    <w:rsid w:val="002710F6"/>
    <w:rsid w:val="002721C1"/>
    <w:rsid w:val="002807BF"/>
    <w:rsid w:val="002859FC"/>
    <w:rsid w:val="00287346"/>
    <w:rsid w:val="00287C6F"/>
    <w:rsid w:val="002939B6"/>
    <w:rsid w:val="00295435"/>
    <w:rsid w:val="00297A6A"/>
    <w:rsid w:val="002A2849"/>
    <w:rsid w:val="002A4389"/>
    <w:rsid w:val="002A6812"/>
    <w:rsid w:val="002B063F"/>
    <w:rsid w:val="002B1BD6"/>
    <w:rsid w:val="002B3F9A"/>
    <w:rsid w:val="002B4FE0"/>
    <w:rsid w:val="002C159B"/>
    <w:rsid w:val="002C211B"/>
    <w:rsid w:val="002C6615"/>
    <w:rsid w:val="002D0DB7"/>
    <w:rsid w:val="002D19DF"/>
    <w:rsid w:val="002D1F3F"/>
    <w:rsid w:val="002D4A32"/>
    <w:rsid w:val="002D5723"/>
    <w:rsid w:val="002D63F7"/>
    <w:rsid w:val="002F069D"/>
    <w:rsid w:val="002F0EA4"/>
    <w:rsid w:val="002F29C1"/>
    <w:rsid w:val="002F46BE"/>
    <w:rsid w:val="002F6F2D"/>
    <w:rsid w:val="00314332"/>
    <w:rsid w:val="003204BA"/>
    <w:rsid w:val="00324958"/>
    <w:rsid w:val="003266BF"/>
    <w:rsid w:val="00332C74"/>
    <w:rsid w:val="00334D65"/>
    <w:rsid w:val="0034036F"/>
    <w:rsid w:val="00340763"/>
    <w:rsid w:val="0034500F"/>
    <w:rsid w:val="0035009C"/>
    <w:rsid w:val="003510C1"/>
    <w:rsid w:val="00355373"/>
    <w:rsid w:val="003565EC"/>
    <w:rsid w:val="00357280"/>
    <w:rsid w:val="00357C79"/>
    <w:rsid w:val="00357D8C"/>
    <w:rsid w:val="003611FF"/>
    <w:rsid w:val="00366CB9"/>
    <w:rsid w:val="00373247"/>
    <w:rsid w:val="00374100"/>
    <w:rsid w:val="00374262"/>
    <w:rsid w:val="00374B42"/>
    <w:rsid w:val="00380BF5"/>
    <w:rsid w:val="00383A1D"/>
    <w:rsid w:val="00383F02"/>
    <w:rsid w:val="00386F66"/>
    <w:rsid w:val="003874C1"/>
    <w:rsid w:val="003966A8"/>
    <w:rsid w:val="003A29C8"/>
    <w:rsid w:val="003A3524"/>
    <w:rsid w:val="003B05DC"/>
    <w:rsid w:val="003B35B0"/>
    <w:rsid w:val="003B44A5"/>
    <w:rsid w:val="003C07D6"/>
    <w:rsid w:val="003C2818"/>
    <w:rsid w:val="003C2906"/>
    <w:rsid w:val="003C2D2E"/>
    <w:rsid w:val="003C3D1D"/>
    <w:rsid w:val="003C7C85"/>
    <w:rsid w:val="003D413C"/>
    <w:rsid w:val="003E6F58"/>
    <w:rsid w:val="003F0389"/>
    <w:rsid w:val="003F1B39"/>
    <w:rsid w:val="003F3DE9"/>
    <w:rsid w:val="0040177D"/>
    <w:rsid w:val="00403F70"/>
    <w:rsid w:val="00406647"/>
    <w:rsid w:val="00412D2C"/>
    <w:rsid w:val="004205DA"/>
    <w:rsid w:val="00421FCA"/>
    <w:rsid w:val="00425CE2"/>
    <w:rsid w:val="004350CF"/>
    <w:rsid w:val="00435271"/>
    <w:rsid w:val="00437698"/>
    <w:rsid w:val="00440B17"/>
    <w:rsid w:val="004459FA"/>
    <w:rsid w:val="00446166"/>
    <w:rsid w:val="00446B82"/>
    <w:rsid w:val="00446E54"/>
    <w:rsid w:val="004479FC"/>
    <w:rsid w:val="00451070"/>
    <w:rsid w:val="00452B11"/>
    <w:rsid w:val="00454FB2"/>
    <w:rsid w:val="0045676B"/>
    <w:rsid w:val="004575B4"/>
    <w:rsid w:val="00462712"/>
    <w:rsid w:val="00464325"/>
    <w:rsid w:val="00477123"/>
    <w:rsid w:val="00477CC5"/>
    <w:rsid w:val="0048428B"/>
    <w:rsid w:val="00496AC5"/>
    <w:rsid w:val="004A20D7"/>
    <w:rsid w:val="004A34B3"/>
    <w:rsid w:val="004B1B0B"/>
    <w:rsid w:val="004B2CB7"/>
    <w:rsid w:val="004B5E15"/>
    <w:rsid w:val="004C182D"/>
    <w:rsid w:val="004C4382"/>
    <w:rsid w:val="004C5A6A"/>
    <w:rsid w:val="004D3E72"/>
    <w:rsid w:val="004D6721"/>
    <w:rsid w:val="004E4967"/>
    <w:rsid w:val="004E75A7"/>
    <w:rsid w:val="004F34FA"/>
    <w:rsid w:val="0050027E"/>
    <w:rsid w:val="005015BF"/>
    <w:rsid w:val="00506131"/>
    <w:rsid w:val="00507CCD"/>
    <w:rsid w:val="005107E0"/>
    <w:rsid w:val="00512E56"/>
    <w:rsid w:val="0051375B"/>
    <w:rsid w:val="00521763"/>
    <w:rsid w:val="005220FD"/>
    <w:rsid w:val="00525CB3"/>
    <w:rsid w:val="005315FF"/>
    <w:rsid w:val="00541230"/>
    <w:rsid w:val="00541FE1"/>
    <w:rsid w:val="00551246"/>
    <w:rsid w:val="0055203C"/>
    <w:rsid w:val="00553851"/>
    <w:rsid w:val="00554225"/>
    <w:rsid w:val="0055424D"/>
    <w:rsid w:val="00560E48"/>
    <w:rsid w:val="00564708"/>
    <w:rsid w:val="00566DF7"/>
    <w:rsid w:val="00580F6A"/>
    <w:rsid w:val="005857C8"/>
    <w:rsid w:val="00585B55"/>
    <w:rsid w:val="00593150"/>
    <w:rsid w:val="00595838"/>
    <w:rsid w:val="005A36DC"/>
    <w:rsid w:val="005A3712"/>
    <w:rsid w:val="005B3029"/>
    <w:rsid w:val="005C2658"/>
    <w:rsid w:val="005C3A65"/>
    <w:rsid w:val="005C3C68"/>
    <w:rsid w:val="005C5662"/>
    <w:rsid w:val="005C5F6F"/>
    <w:rsid w:val="005C600A"/>
    <w:rsid w:val="005C7109"/>
    <w:rsid w:val="005E0BAF"/>
    <w:rsid w:val="005E3EF5"/>
    <w:rsid w:val="005E6680"/>
    <w:rsid w:val="005F1404"/>
    <w:rsid w:val="005F3164"/>
    <w:rsid w:val="005F3E2A"/>
    <w:rsid w:val="005F458D"/>
    <w:rsid w:val="005F4BB6"/>
    <w:rsid w:val="005F6327"/>
    <w:rsid w:val="006004F5"/>
    <w:rsid w:val="00600C6D"/>
    <w:rsid w:val="0060272A"/>
    <w:rsid w:val="0060474A"/>
    <w:rsid w:val="00604EED"/>
    <w:rsid w:val="0060747A"/>
    <w:rsid w:val="0061042F"/>
    <w:rsid w:val="006124DE"/>
    <w:rsid w:val="00613160"/>
    <w:rsid w:val="006207A3"/>
    <w:rsid w:val="006264EB"/>
    <w:rsid w:val="006314E5"/>
    <w:rsid w:val="00634F5F"/>
    <w:rsid w:val="006354D6"/>
    <w:rsid w:val="00637A54"/>
    <w:rsid w:val="00641EA5"/>
    <w:rsid w:val="00644D9D"/>
    <w:rsid w:val="00647BA0"/>
    <w:rsid w:val="00650EF5"/>
    <w:rsid w:val="006514DC"/>
    <w:rsid w:val="00653791"/>
    <w:rsid w:val="00654D10"/>
    <w:rsid w:val="00664B69"/>
    <w:rsid w:val="00665972"/>
    <w:rsid w:val="00674506"/>
    <w:rsid w:val="00675B76"/>
    <w:rsid w:val="00675F2D"/>
    <w:rsid w:val="00677D00"/>
    <w:rsid w:val="006871EC"/>
    <w:rsid w:val="00692FD5"/>
    <w:rsid w:val="0069516E"/>
    <w:rsid w:val="006A49D7"/>
    <w:rsid w:val="006A544C"/>
    <w:rsid w:val="006B69F3"/>
    <w:rsid w:val="006C1D9E"/>
    <w:rsid w:val="006C3F86"/>
    <w:rsid w:val="006C5450"/>
    <w:rsid w:val="006C7C32"/>
    <w:rsid w:val="006D3429"/>
    <w:rsid w:val="006D547E"/>
    <w:rsid w:val="006D621B"/>
    <w:rsid w:val="006D6F5B"/>
    <w:rsid w:val="006D766B"/>
    <w:rsid w:val="006E10F8"/>
    <w:rsid w:val="006E3483"/>
    <w:rsid w:val="006E4025"/>
    <w:rsid w:val="007048D1"/>
    <w:rsid w:val="00704E58"/>
    <w:rsid w:val="00707A0C"/>
    <w:rsid w:val="0071052C"/>
    <w:rsid w:val="00711B24"/>
    <w:rsid w:val="00722C7E"/>
    <w:rsid w:val="00723812"/>
    <w:rsid w:val="00736980"/>
    <w:rsid w:val="007410A6"/>
    <w:rsid w:val="00741596"/>
    <w:rsid w:val="007429F0"/>
    <w:rsid w:val="00743BDB"/>
    <w:rsid w:val="00752314"/>
    <w:rsid w:val="00761E08"/>
    <w:rsid w:val="00767063"/>
    <w:rsid w:val="007704C1"/>
    <w:rsid w:val="00774E04"/>
    <w:rsid w:val="00780FFE"/>
    <w:rsid w:val="007918C7"/>
    <w:rsid w:val="00792B30"/>
    <w:rsid w:val="00794A8D"/>
    <w:rsid w:val="007A2756"/>
    <w:rsid w:val="007A383B"/>
    <w:rsid w:val="007A708E"/>
    <w:rsid w:val="007B10AD"/>
    <w:rsid w:val="007B2B5F"/>
    <w:rsid w:val="007B477F"/>
    <w:rsid w:val="007B6FDC"/>
    <w:rsid w:val="007B784B"/>
    <w:rsid w:val="007C3671"/>
    <w:rsid w:val="007C37BE"/>
    <w:rsid w:val="007C4426"/>
    <w:rsid w:val="007C50AF"/>
    <w:rsid w:val="007C6CE5"/>
    <w:rsid w:val="007D62EA"/>
    <w:rsid w:val="007E60A6"/>
    <w:rsid w:val="007E79E1"/>
    <w:rsid w:val="007F0A4A"/>
    <w:rsid w:val="007F18BD"/>
    <w:rsid w:val="007F42B6"/>
    <w:rsid w:val="007F4CF9"/>
    <w:rsid w:val="00800626"/>
    <w:rsid w:val="00802CEC"/>
    <w:rsid w:val="00802F11"/>
    <w:rsid w:val="00803B08"/>
    <w:rsid w:val="00803CAB"/>
    <w:rsid w:val="0080481C"/>
    <w:rsid w:val="008100E3"/>
    <w:rsid w:val="00813D7B"/>
    <w:rsid w:val="00823915"/>
    <w:rsid w:val="008270D1"/>
    <w:rsid w:val="00827A82"/>
    <w:rsid w:val="0083061F"/>
    <w:rsid w:val="008316FD"/>
    <w:rsid w:val="008371F5"/>
    <w:rsid w:val="00837676"/>
    <w:rsid w:val="00837D20"/>
    <w:rsid w:val="00842133"/>
    <w:rsid w:val="00846292"/>
    <w:rsid w:val="0085323D"/>
    <w:rsid w:val="00864BA3"/>
    <w:rsid w:val="008707D7"/>
    <w:rsid w:val="00870F4B"/>
    <w:rsid w:val="00872190"/>
    <w:rsid w:val="00875E12"/>
    <w:rsid w:val="0087638F"/>
    <w:rsid w:val="00880043"/>
    <w:rsid w:val="00883F17"/>
    <w:rsid w:val="00885A90"/>
    <w:rsid w:val="0089089E"/>
    <w:rsid w:val="008A03E8"/>
    <w:rsid w:val="008A1AF0"/>
    <w:rsid w:val="008B1119"/>
    <w:rsid w:val="008B2E37"/>
    <w:rsid w:val="008C1789"/>
    <w:rsid w:val="008C51D3"/>
    <w:rsid w:val="008C6AAD"/>
    <w:rsid w:val="008C70DA"/>
    <w:rsid w:val="008D01D5"/>
    <w:rsid w:val="008D7C5E"/>
    <w:rsid w:val="008E437E"/>
    <w:rsid w:val="008E747D"/>
    <w:rsid w:val="008F1268"/>
    <w:rsid w:val="008F450D"/>
    <w:rsid w:val="008F599D"/>
    <w:rsid w:val="008F7BB6"/>
    <w:rsid w:val="009022FB"/>
    <w:rsid w:val="00904535"/>
    <w:rsid w:val="00904681"/>
    <w:rsid w:val="00907C62"/>
    <w:rsid w:val="00910C6B"/>
    <w:rsid w:val="00922511"/>
    <w:rsid w:val="0092505A"/>
    <w:rsid w:val="009324E3"/>
    <w:rsid w:val="0093494F"/>
    <w:rsid w:val="0093499C"/>
    <w:rsid w:val="0094331D"/>
    <w:rsid w:val="0094437E"/>
    <w:rsid w:val="009445E1"/>
    <w:rsid w:val="009468B2"/>
    <w:rsid w:val="00946FFD"/>
    <w:rsid w:val="00950317"/>
    <w:rsid w:val="00960525"/>
    <w:rsid w:val="00972E86"/>
    <w:rsid w:val="009838D4"/>
    <w:rsid w:val="00992622"/>
    <w:rsid w:val="00994833"/>
    <w:rsid w:val="009949CD"/>
    <w:rsid w:val="009965D1"/>
    <w:rsid w:val="0099705F"/>
    <w:rsid w:val="009A2BE7"/>
    <w:rsid w:val="009A7E00"/>
    <w:rsid w:val="009B376A"/>
    <w:rsid w:val="009B4392"/>
    <w:rsid w:val="009B5236"/>
    <w:rsid w:val="009B5D68"/>
    <w:rsid w:val="009B69EA"/>
    <w:rsid w:val="009B6D6C"/>
    <w:rsid w:val="009B7EFA"/>
    <w:rsid w:val="009C02CD"/>
    <w:rsid w:val="009C0958"/>
    <w:rsid w:val="009C3243"/>
    <w:rsid w:val="009C559E"/>
    <w:rsid w:val="009C618C"/>
    <w:rsid w:val="009D12AA"/>
    <w:rsid w:val="009D1373"/>
    <w:rsid w:val="009D1917"/>
    <w:rsid w:val="009D20A7"/>
    <w:rsid w:val="009D3382"/>
    <w:rsid w:val="009D42BE"/>
    <w:rsid w:val="009D55D6"/>
    <w:rsid w:val="009D5F7E"/>
    <w:rsid w:val="009F0582"/>
    <w:rsid w:val="009F2845"/>
    <w:rsid w:val="009F3C16"/>
    <w:rsid w:val="00A00AE7"/>
    <w:rsid w:val="00A02F57"/>
    <w:rsid w:val="00A05597"/>
    <w:rsid w:val="00A05B8F"/>
    <w:rsid w:val="00A10C88"/>
    <w:rsid w:val="00A13980"/>
    <w:rsid w:val="00A14B74"/>
    <w:rsid w:val="00A20F86"/>
    <w:rsid w:val="00A21A48"/>
    <w:rsid w:val="00A23C98"/>
    <w:rsid w:val="00A264DD"/>
    <w:rsid w:val="00A405BA"/>
    <w:rsid w:val="00A4180B"/>
    <w:rsid w:val="00A421F5"/>
    <w:rsid w:val="00A43534"/>
    <w:rsid w:val="00A549FA"/>
    <w:rsid w:val="00A55DA6"/>
    <w:rsid w:val="00A63A36"/>
    <w:rsid w:val="00A67B84"/>
    <w:rsid w:val="00A70649"/>
    <w:rsid w:val="00A74834"/>
    <w:rsid w:val="00A75E56"/>
    <w:rsid w:val="00A82C44"/>
    <w:rsid w:val="00A84D7D"/>
    <w:rsid w:val="00A866B0"/>
    <w:rsid w:val="00A91B65"/>
    <w:rsid w:val="00A93AE1"/>
    <w:rsid w:val="00A96993"/>
    <w:rsid w:val="00AA21F9"/>
    <w:rsid w:val="00AA2453"/>
    <w:rsid w:val="00AA27B7"/>
    <w:rsid w:val="00AA4AAC"/>
    <w:rsid w:val="00AA51EF"/>
    <w:rsid w:val="00AA7D1E"/>
    <w:rsid w:val="00AB1F1B"/>
    <w:rsid w:val="00AB2D70"/>
    <w:rsid w:val="00AB35DE"/>
    <w:rsid w:val="00AB36DA"/>
    <w:rsid w:val="00AB38C6"/>
    <w:rsid w:val="00AB7672"/>
    <w:rsid w:val="00AC0A71"/>
    <w:rsid w:val="00AC22F7"/>
    <w:rsid w:val="00AC2546"/>
    <w:rsid w:val="00AC306D"/>
    <w:rsid w:val="00AC3D85"/>
    <w:rsid w:val="00AD6F8A"/>
    <w:rsid w:val="00AD713B"/>
    <w:rsid w:val="00AE01D8"/>
    <w:rsid w:val="00AE71C9"/>
    <w:rsid w:val="00AF0B9F"/>
    <w:rsid w:val="00AF630B"/>
    <w:rsid w:val="00AF6852"/>
    <w:rsid w:val="00B00225"/>
    <w:rsid w:val="00B051A1"/>
    <w:rsid w:val="00B05B42"/>
    <w:rsid w:val="00B07DD0"/>
    <w:rsid w:val="00B10103"/>
    <w:rsid w:val="00B120F9"/>
    <w:rsid w:val="00B202AA"/>
    <w:rsid w:val="00B21BAA"/>
    <w:rsid w:val="00B238DE"/>
    <w:rsid w:val="00B24B63"/>
    <w:rsid w:val="00B26CE1"/>
    <w:rsid w:val="00B3230D"/>
    <w:rsid w:val="00B339E9"/>
    <w:rsid w:val="00B3488B"/>
    <w:rsid w:val="00B36328"/>
    <w:rsid w:val="00B36775"/>
    <w:rsid w:val="00B464A2"/>
    <w:rsid w:val="00B53060"/>
    <w:rsid w:val="00B544A1"/>
    <w:rsid w:val="00B755F8"/>
    <w:rsid w:val="00B8044B"/>
    <w:rsid w:val="00B83686"/>
    <w:rsid w:val="00B83DB0"/>
    <w:rsid w:val="00B85C8E"/>
    <w:rsid w:val="00B924FA"/>
    <w:rsid w:val="00B97BF5"/>
    <w:rsid w:val="00BA0857"/>
    <w:rsid w:val="00BA4701"/>
    <w:rsid w:val="00BA596F"/>
    <w:rsid w:val="00BB099E"/>
    <w:rsid w:val="00BB0C43"/>
    <w:rsid w:val="00BB22CD"/>
    <w:rsid w:val="00BB3E2F"/>
    <w:rsid w:val="00BC1078"/>
    <w:rsid w:val="00BC18A1"/>
    <w:rsid w:val="00BC211D"/>
    <w:rsid w:val="00BC24CD"/>
    <w:rsid w:val="00BD03AF"/>
    <w:rsid w:val="00BD3D93"/>
    <w:rsid w:val="00BD4682"/>
    <w:rsid w:val="00BD537C"/>
    <w:rsid w:val="00BD5FD2"/>
    <w:rsid w:val="00BD639D"/>
    <w:rsid w:val="00BE3E11"/>
    <w:rsid w:val="00BE4CFE"/>
    <w:rsid w:val="00BE5303"/>
    <w:rsid w:val="00BF0501"/>
    <w:rsid w:val="00BF443E"/>
    <w:rsid w:val="00BF459D"/>
    <w:rsid w:val="00BF4B4B"/>
    <w:rsid w:val="00BF5EC0"/>
    <w:rsid w:val="00C010EA"/>
    <w:rsid w:val="00C017D3"/>
    <w:rsid w:val="00C02766"/>
    <w:rsid w:val="00C06EF6"/>
    <w:rsid w:val="00C1563E"/>
    <w:rsid w:val="00C20C65"/>
    <w:rsid w:val="00C2108E"/>
    <w:rsid w:val="00C250A0"/>
    <w:rsid w:val="00C26DDE"/>
    <w:rsid w:val="00C30039"/>
    <w:rsid w:val="00C34383"/>
    <w:rsid w:val="00C34A42"/>
    <w:rsid w:val="00C4034D"/>
    <w:rsid w:val="00C440CF"/>
    <w:rsid w:val="00C46660"/>
    <w:rsid w:val="00C62346"/>
    <w:rsid w:val="00C7065C"/>
    <w:rsid w:val="00C70A84"/>
    <w:rsid w:val="00C740DD"/>
    <w:rsid w:val="00C744F1"/>
    <w:rsid w:val="00C87D32"/>
    <w:rsid w:val="00C91094"/>
    <w:rsid w:val="00C91F78"/>
    <w:rsid w:val="00C93ED0"/>
    <w:rsid w:val="00C94846"/>
    <w:rsid w:val="00C959ED"/>
    <w:rsid w:val="00CA23E4"/>
    <w:rsid w:val="00CA48EB"/>
    <w:rsid w:val="00CA7C25"/>
    <w:rsid w:val="00CB563B"/>
    <w:rsid w:val="00CC0C43"/>
    <w:rsid w:val="00CC6D1B"/>
    <w:rsid w:val="00CD388A"/>
    <w:rsid w:val="00CF0277"/>
    <w:rsid w:val="00CF4679"/>
    <w:rsid w:val="00CF49F4"/>
    <w:rsid w:val="00D00BDA"/>
    <w:rsid w:val="00D023D8"/>
    <w:rsid w:val="00D02F88"/>
    <w:rsid w:val="00D05E2B"/>
    <w:rsid w:val="00D05F6A"/>
    <w:rsid w:val="00D061C7"/>
    <w:rsid w:val="00D1072B"/>
    <w:rsid w:val="00D12BDC"/>
    <w:rsid w:val="00D13AC1"/>
    <w:rsid w:val="00D14387"/>
    <w:rsid w:val="00D20E9B"/>
    <w:rsid w:val="00D3136E"/>
    <w:rsid w:val="00D31D33"/>
    <w:rsid w:val="00D340F7"/>
    <w:rsid w:val="00D34D33"/>
    <w:rsid w:val="00D36809"/>
    <w:rsid w:val="00D44B49"/>
    <w:rsid w:val="00D55E44"/>
    <w:rsid w:val="00D56692"/>
    <w:rsid w:val="00D56D46"/>
    <w:rsid w:val="00D71605"/>
    <w:rsid w:val="00D74A34"/>
    <w:rsid w:val="00D768C5"/>
    <w:rsid w:val="00D804AE"/>
    <w:rsid w:val="00D84FD9"/>
    <w:rsid w:val="00D853A6"/>
    <w:rsid w:val="00D868ED"/>
    <w:rsid w:val="00D8741D"/>
    <w:rsid w:val="00D877E4"/>
    <w:rsid w:val="00D91B54"/>
    <w:rsid w:val="00D9574D"/>
    <w:rsid w:val="00D95BC6"/>
    <w:rsid w:val="00D97481"/>
    <w:rsid w:val="00D97DA5"/>
    <w:rsid w:val="00D97EFF"/>
    <w:rsid w:val="00DA1A57"/>
    <w:rsid w:val="00DB0F58"/>
    <w:rsid w:val="00DB3F84"/>
    <w:rsid w:val="00DB5865"/>
    <w:rsid w:val="00DB6D20"/>
    <w:rsid w:val="00DC022D"/>
    <w:rsid w:val="00DC0E6A"/>
    <w:rsid w:val="00DC201D"/>
    <w:rsid w:val="00DC3FBE"/>
    <w:rsid w:val="00DD1497"/>
    <w:rsid w:val="00DD2FE7"/>
    <w:rsid w:val="00DD55A3"/>
    <w:rsid w:val="00DE1345"/>
    <w:rsid w:val="00DE6783"/>
    <w:rsid w:val="00E11384"/>
    <w:rsid w:val="00E1147C"/>
    <w:rsid w:val="00E13473"/>
    <w:rsid w:val="00E157DD"/>
    <w:rsid w:val="00E16383"/>
    <w:rsid w:val="00E16925"/>
    <w:rsid w:val="00E22314"/>
    <w:rsid w:val="00E22C45"/>
    <w:rsid w:val="00E26927"/>
    <w:rsid w:val="00E36B9C"/>
    <w:rsid w:val="00E44968"/>
    <w:rsid w:val="00E55C91"/>
    <w:rsid w:val="00E57271"/>
    <w:rsid w:val="00E64652"/>
    <w:rsid w:val="00E653D0"/>
    <w:rsid w:val="00E657A2"/>
    <w:rsid w:val="00E65885"/>
    <w:rsid w:val="00E70963"/>
    <w:rsid w:val="00E742DE"/>
    <w:rsid w:val="00E758DE"/>
    <w:rsid w:val="00E76E5E"/>
    <w:rsid w:val="00E80AAA"/>
    <w:rsid w:val="00E81A56"/>
    <w:rsid w:val="00E836B7"/>
    <w:rsid w:val="00E90069"/>
    <w:rsid w:val="00E90B9F"/>
    <w:rsid w:val="00E90D10"/>
    <w:rsid w:val="00E93DD3"/>
    <w:rsid w:val="00E9401E"/>
    <w:rsid w:val="00EA43EC"/>
    <w:rsid w:val="00EB34DC"/>
    <w:rsid w:val="00EB461E"/>
    <w:rsid w:val="00EC2FB5"/>
    <w:rsid w:val="00ED2D03"/>
    <w:rsid w:val="00ED3E0A"/>
    <w:rsid w:val="00ED4950"/>
    <w:rsid w:val="00EE453A"/>
    <w:rsid w:val="00EF00BE"/>
    <w:rsid w:val="00EF2BA3"/>
    <w:rsid w:val="00EF2BF0"/>
    <w:rsid w:val="00EF406C"/>
    <w:rsid w:val="00EF59FF"/>
    <w:rsid w:val="00EF7A98"/>
    <w:rsid w:val="00F02C0E"/>
    <w:rsid w:val="00F045A5"/>
    <w:rsid w:val="00F055EE"/>
    <w:rsid w:val="00F10065"/>
    <w:rsid w:val="00F12E74"/>
    <w:rsid w:val="00F13759"/>
    <w:rsid w:val="00F163BC"/>
    <w:rsid w:val="00F21CB7"/>
    <w:rsid w:val="00F22D01"/>
    <w:rsid w:val="00F2494A"/>
    <w:rsid w:val="00F257E1"/>
    <w:rsid w:val="00F3201B"/>
    <w:rsid w:val="00F32C3C"/>
    <w:rsid w:val="00F32E70"/>
    <w:rsid w:val="00F334E2"/>
    <w:rsid w:val="00F404E4"/>
    <w:rsid w:val="00F4290F"/>
    <w:rsid w:val="00F42ADE"/>
    <w:rsid w:val="00F45016"/>
    <w:rsid w:val="00F46C7B"/>
    <w:rsid w:val="00F50B04"/>
    <w:rsid w:val="00F51791"/>
    <w:rsid w:val="00F517DE"/>
    <w:rsid w:val="00F540D3"/>
    <w:rsid w:val="00F561E4"/>
    <w:rsid w:val="00F640C9"/>
    <w:rsid w:val="00F64B72"/>
    <w:rsid w:val="00F67E0C"/>
    <w:rsid w:val="00F71B10"/>
    <w:rsid w:val="00F8417B"/>
    <w:rsid w:val="00F920C9"/>
    <w:rsid w:val="00F92E37"/>
    <w:rsid w:val="00F94245"/>
    <w:rsid w:val="00F9710E"/>
    <w:rsid w:val="00F978CB"/>
    <w:rsid w:val="00FA4CA6"/>
    <w:rsid w:val="00FA648C"/>
    <w:rsid w:val="00FB0CE8"/>
    <w:rsid w:val="00FB2CDB"/>
    <w:rsid w:val="00FC2E9E"/>
    <w:rsid w:val="00FC3437"/>
    <w:rsid w:val="00FD2E97"/>
    <w:rsid w:val="00FD3CB5"/>
    <w:rsid w:val="00FD3E81"/>
    <w:rsid w:val="00FD726F"/>
    <w:rsid w:val="00FE2E79"/>
    <w:rsid w:val="00FE599E"/>
    <w:rsid w:val="00FE601A"/>
    <w:rsid w:val="00FE7306"/>
    <w:rsid w:val="00FE7642"/>
    <w:rsid w:val="00FF08A5"/>
    <w:rsid w:val="00FF4EB1"/>
    <w:rsid w:val="00FF61C3"/>
    <w:rsid w:val="00FF7F01"/>
    <w:rsid w:val="0100E625"/>
    <w:rsid w:val="0152A358"/>
    <w:rsid w:val="01BEAB51"/>
    <w:rsid w:val="02124139"/>
    <w:rsid w:val="022B8025"/>
    <w:rsid w:val="023C62ED"/>
    <w:rsid w:val="02B5763A"/>
    <w:rsid w:val="0303253C"/>
    <w:rsid w:val="03A0842B"/>
    <w:rsid w:val="03AEC3C9"/>
    <w:rsid w:val="042A39DB"/>
    <w:rsid w:val="049E3747"/>
    <w:rsid w:val="04F7EFB8"/>
    <w:rsid w:val="05974652"/>
    <w:rsid w:val="062CD8B5"/>
    <w:rsid w:val="067E8825"/>
    <w:rsid w:val="078CD855"/>
    <w:rsid w:val="079F71B9"/>
    <w:rsid w:val="07E32526"/>
    <w:rsid w:val="087B4524"/>
    <w:rsid w:val="087BF2E2"/>
    <w:rsid w:val="089F7B5A"/>
    <w:rsid w:val="09177470"/>
    <w:rsid w:val="097C6519"/>
    <w:rsid w:val="0A70C112"/>
    <w:rsid w:val="0AA303E8"/>
    <w:rsid w:val="0AE0B4D3"/>
    <w:rsid w:val="0B26C8C0"/>
    <w:rsid w:val="0B31732F"/>
    <w:rsid w:val="0B3E28D6"/>
    <w:rsid w:val="0B6B5C33"/>
    <w:rsid w:val="0C040262"/>
    <w:rsid w:val="0C25A0D9"/>
    <w:rsid w:val="0C56432F"/>
    <w:rsid w:val="0D26C32C"/>
    <w:rsid w:val="0E52D9A6"/>
    <w:rsid w:val="0E60AF99"/>
    <w:rsid w:val="0F1231CD"/>
    <w:rsid w:val="0F1EA747"/>
    <w:rsid w:val="0F7AB347"/>
    <w:rsid w:val="0F956CA8"/>
    <w:rsid w:val="0F9A3B69"/>
    <w:rsid w:val="0FED8C14"/>
    <w:rsid w:val="100B9CF0"/>
    <w:rsid w:val="1036C3E0"/>
    <w:rsid w:val="1064AC50"/>
    <w:rsid w:val="10D44CAD"/>
    <w:rsid w:val="10F6A49C"/>
    <w:rsid w:val="1174EF36"/>
    <w:rsid w:val="122E9CDF"/>
    <w:rsid w:val="1303DB64"/>
    <w:rsid w:val="1379A1A8"/>
    <w:rsid w:val="13A82C4B"/>
    <w:rsid w:val="142F5DCF"/>
    <w:rsid w:val="15051A37"/>
    <w:rsid w:val="15C1D48F"/>
    <w:rsid w:val="161C102E"/>
    <w:rsid w:val="164390D1"/>
    <w:rsid w:val="16DDF574"/>
    <w:rsid w:val="177BB09D"/>
    <w:rsid w:val="17FFE856"/>
    <w:rsid w:val="1825CA8B"/>
    <w:rsid w:val="186CB69C"/>
    <w:rsid w:val="18F3CB3D"/>
    <w:rsid w:val="1908BACC"/>
    <w:rsid w:val="190C35FD"/>
    <w:rsid w:val="194DF495"/>
    <w:rsid w:val="1984770E"/>
    <w:rsid w:val="19C55CD4"/>
    <w:rsid w:val="1A7F9082"/>
    <w:rsid w:val="1A8BB1E6"/>
    <w:rsid w:val="1C6D6842"/>
    <w:rsid w:val="1CE769A4"/>
    <w:rsid w:val="1D7FB62C"/>
    <w:rsid w:val="1DBEC37E"/>
    <w:rsid w:val="1DF6003C"/>
    <w:rsid w:val="1ED516AB"/>
    <w:rsid w:val="1ED7AF84"/>
    <w:rsid w:val="1F0A42BD"/>
    <w:rsid w:val="1F240C93"/>
    <w:rsid w:val="1F376A0E"/>
    <w:rsid w:val="1F85A608"/>
    <w:rsid w:val="20206EA2"/>
    <w:rsid w:val="203901AB"/>
    <w:rsid w:val="210FA546"/>
    <w:rsid w:val="2141780F"/>
    <w:rsid w:val="2175B345"/>
    <w:rsid w:val="217617C3"/>
    <w:rsid w:val="21766C48"/>
    <w:rsid w:val="21D48B04"/>
    <w:rsid w:val="22000C99"/>
    <w:rsid w:val="223FA752"/>
    <w:rsid w:val="226D188D"/>
    <w:rsid w:val="22777C94"/>
    <w:rsid w:val="22846C99"/>
    <w:rsid w:val="2299F0C2"/>
    <w:rsid w:val="22B67CE7"/>
    <w:rsid w:val="22C5B97D"/>
    <w:rsid w:val="234E5A80"/>
    <w:rsid w:val="23676E78"/>
    <w:rsid w:val="23DE3051"/>
    <w:rsid w:val="2400FE85"/>
    <w:rsid w:val="245B15FF"/>
    <w:rsid w:val="245D2453"/>
    <w:rsid w:val="24755C6F"/>
    <w:rsid w:val="248F0D73"/>
    <w:rsid w:val="24C4BACA"/>
    <w:rsid w:val="24FAD037"/>
    <w:rsid w:val="2578B7C8"/>
    <w:rsid w:val="25B80037"/>
    <w:rsid w:val="25F3BC94"/>
    <w:rsid w:val="25FDDC68"/>
    <w:rsid w:val="27144670"/>
    <w:rsid w:val="2780E0A2"/>
    <w:rsid w:val="2825C37A"/>
    <w:rsid w:val="282A803D"/>
    <w:rsid w:val="289E1CF0"/>
    <w:rsid w:val="28A1FD91"/>
    <w:rsid w:val="28C5C95C"/>
    <w:rsid w:val="28D4B744"/>
    <w:rsid w:val="29212FA0"/>
    <w:rsid w:val="2A1C9BC5"/>
    <w:rsid w:val="2AE8721A"/>
    <w:rsid w:val="2B3B5D6B"/>
    <w:rsid w:val="2BB893E0"/>
    <w:rsid w:val="2BD7A3D7"/>
    <w:rsid w:val="2C053B0D"/>
    <w:rsid w:val="2CC9E684"/>
    <w:rsid w:val="2D274CF0"/>
    <w:rsid w:val="2D4BBE0E"/>
    <w:rsid w:val="2D5F8331"/>
    <w:rsid w:val="2DD5C477"/>
    <w:rsid w:val="2DF634C0"/>
    <w:rsid w:val="2E19004B"/>
    <w:rsid w:val="2E2E7CF1"/>
    <w:rsid w:val="2E40E1E0"/>
    <w:rsid w:val="2E607741"/>
    <w:rsid w:val="2E67CA68"/>
    <w:rsid w:val="2E766663"/>
    <w:rsid w:val="2EA15B3D"/>
    <w:rsid w:val="2F0B2BC6"/>
    <w:rsid w:val="2F6D4194"/>
    <w:rsid w:val="2FE17CDB"/>
    <w:rsid w:val="2FE807D2"/>
    <w:rsid w:val="300C9D5D"/>
    <w:rsid w:val="3082AC9E"/>
    <w:rsid w:val="31162475"/>
    <w:rsid w:val="31AE8F9D"/>
    <w:rsid w:val="31BF4563"/>
    <w:rsid w:val="31C87947"/>
    <w:rsid w:val="327DA698"/>
    <w:rsid w:val="32B11E03"/>
    <w:rsid w:val="33274476"/>
    <w:rsid w:val="338AB583"/>
    <w:rsid w:val="34A0143C"/>
    <w:rsid w:val="34AF7FB6"/>
    <w:rsid w:val="352F50C7"/>
    <w:rsid w:val="3590B2ED"/>
    <w:rsid w:val="35D6EEBE"/>
    <w:rsid w:val="366B4A2E"/>
    <w:rsid w:val="36AB2322"/>
    <w:rsid w:val="36E9155A"/>
    <w:rsid w:val="373CA68D"/>
    <w:rsid w:val="3752C47B"/>
    <w:rsid w:val="37DB33D9"/>
    <w:rsid w:val="384ADEF5"/>
    <w:rsid w:val="389789CA"/>
    <w:rsid w:val="38C380D4"/>
    <w:rsid w:val="399A25EF"/>
    <w:rsid w:val="39C67747"/>
    <w:rsid w:val="39EEA6E2"/>
    <w:rsid w:val="3A056102"/>
    <w:rsid w:val="3A7BC3DD"/>
    <w:rsid w:val="3A9C6C90"/>
    <w:rsid w:val="3B933CD4"/>
    <w:rsid w:val="3BA569C4"/>
    <w:rsid w:val="3C193BDD"/>
    <w:rsid w:val="3C999587"/>
    <w:rsid w:val="3C9FC295"/>
    <w:rsid w:val="3D046885"/>
    <w:rsid w:val="3DD0F29F"/>
    <w:rsid w:val="3DE5FD1D"/>
    <w:rsid w:val="3E68FA8F"/>
    <w:rsid w:val="3EE34032"/>
    <w:rsid w:val="3F52BBE2"/>
    <w:rsid w:val="3FC74966"/>
    <w:rsid w:val="4025B3AC"/>
    <w:rsid w:val="4144426D"/>
    <w:rsid w:val="41D05FD4"/>
    <w:rsid w:val="41F4F866"/>
    <w:rsid w:val="42797BBC"/>
    <w:rsid w:val="42CB979A"/>
    <w:rsid w:val="42E3D411"/>
    <w:rsid w:val="432D8C2F"/>
    <w:rsid w:val="43BBA9B3"/>
    <w:rsid w:val="43DA4DEB"/>
    <w:rsid w:val="43E4E4A6"/>
    <w:rsid w:val="440AC520"/>
    <w:rsid w:val="4566F4BC"/>
    <w:rsid w:val="4629E013"/>
    <w:rsid w:val="4727AA06"/>
    <w:rsid w:val="473971D8"/>
    <w:rsid w:val="477D9B7B"/>
    <w:rsid w:val="478347E6"/>
    <w:rsid w:val="4843B542"/>
    <w:rsid w:val="48BE052B"/>
    <w:rsid w:val="4947999D"/>
    <w:rsid w:val="4958E496"/>
    <w:rsid w:val="49618DA5"/>
    <w:rsid w:val="4A277B0C"/>
    <w:rsid w:val="4A308C0C"/>
    <w:rsid w:val="4A501273"/>
    <w:rsid w:val="4A68F18A"/>
    <w:rsid w:val="4AF65E46"/>
    <w:rsid w:val="4BB7126C"/>
    <w:rsid w:val="4C08619F"/>
    <w:rsid w:val="4C4DF480"/>
    <w:rsid w:val="4C7591EC"/>
    <w:rsid w:val="4CC06705"/>
    <w:rsid w:val="4CC95725"/>
    <w:rsid w:val="4D5A7133"/>
    <w:rsid w:val="4D924099"/>
    <w:rsid w:val="4E83967B"/>
    <w:rsid w:val="4EC3E277"/>
    <w:rsid w:val="4F275D9D"/>
    <w:rsid w:val="4F71897E"/>
    <w:rsid w:val="4F820D47"/>
    <w:rsid w:val="4FDF3A88"/>
    <w:rsid w:val="501DA0E2"/>
    <w:rsid w:val="50537CB8"/>
    <w:rsid w:val="50B81806"/>
    <w:rsid w:val="50F8DD03"/>
    <w:rsid w:val="50FD1DD9"/>
    <w:rsid w:val="5159A466"/>
    <w:rsid w:val="51847817"/>
    <w:rsid w:val="520C7C97"/>
    <w:rsid w:val="5213A0B5"/>
    <w:rsid w:val="52896A4D"/>
    <w:rsid w:val="528F9B39"/>
    <w:rsid w:val="52CE91F8"/>
    <w:rsid w:val="53D54C55"/>
    <w:rsid w:val="53DFE25B"/>
    <w:rsid w:val="553CE954"/>
    <w:rsid w:val="55664045"/>
    <w:rsid w:val="55885060"/>
    <w:rsid w:val="55C2A3D5"/>
    <w:rsid w:val="55F6319A"/>
    <w:rsid w:val="5622B8A4"/>
    <w:rsid w:val="56B30B6E"/>
    <w:rsid w:val="56BEB854"/>
    <w:rsid w:val="579422B6"/>
    <w:rsid w:val="58052896"/>
    <w:rsid w:val="588E2F40"/>
    <w:rsid w:val="58D912DA"/>
    <w:rsid w:val="59C26E31"/>
    <w:rsid w:val="5A53EAE9"/>
    <w:rsid w:val="5ACA28CC"/>
    <w:rsid w:val="5AFC0A4C"/>
    <w:rsid w:val="5B0F3FF9"/>
    <w:rsid w:val="5B15F645"/>
    <w:rsid w:val="5B4BE494"/>
    <w:rsid w:val="5B688EB8"/>
    <w:rsid w:val="5C81CC75"/>
    <w:rsid w:val="5CD99331"/>
    <w:rsid w:val="5CEACB68"/>
    <w:rsid w:val="5CF232C3"/>
    <w:rsid w:val="5D23AF13"/>
    <w:rsid w:val="5D3509BC"/>
    <w:rsid w:val="5D59B980"/>
    <w:rsid w:val="5E638BA9"/>
    <w:rsid w:val="5E9FE07F"/>
    <w:rsid w:val="5F3D1642"/>
    <w:rsid w:val="5F530346"/>
    <w:rsid w:val="60E35D69"/>
    <w:rsid w:val="6112BCF1"/>
    <w:rsid w:val="61699E71"/>
    <w:rsid w:val="616B07BE"/>
    <w:rsid w:val="61B34503"/>
    <w:rsid w:val="61C2B15C"/>
    <w:rsid w:val="625B5226"/>
    <w:rsid w:val="62B78DA1"/>
    <w:rsid w:val="62F3ED74"/>
    <w:rsid w:val="6348A705"/>
    <w:rsid w:val="638A273D"/>
    <w:rsid w:val="641550E7"/>
    <w:rsid w:val="64965874"/>
    <w:rsid w:val="64AA63D6"/>
    <w:rsid w:val="64BD1B5F"/>
    <w:rsid w:val="64BD3A67"/>
    <w:rsid w:val="64C6F808"/>
    <w:rsid w:val="64CF0C87"/>
    <w:rsid w:val="6519DF85"/>
    <w:rsid w:val="651DF5D2"/>
    <w:rsid w:val="652378DE"/>
    <w:rsid w:val="6558C4ED"/>
    <w:rsid w:val="65E11E1B"/>
    <w:rsid w:val="6632A529"/>
    <w:rsid w:val="665CD920"/>
    <w:rsid w:val="66D5FF5D"/>
    <w:rsid w:val="674B1F43"/>
    <w:rsid w:val="68D03ECD"/>
    <w:rsid w:val="68F7DF0C"/>
    <w:rsid w:val="695590EC"/>
    <w:rsid w:val="695B775A"/>
    <w:rsid w:val="699B5C26"/>
    <w:rsid w:val="69C86F67"/>
    <w:rsid w:val="6A4822D3"/>
    <w:rsid w:val="6A5F26C6"/>
    <w:rsid w:val="6A867A4B"/>
    <w:rsid w:val="6B386DBC"/>
    <w:rsid w:val="6B43F37D"/>
    <w:rsid w:val="6B884AED"/>
    <w:rsid w:val="6C282B33"/>
    <w:rsid w:val="6CA98A4C"/>
    <w:rsid w:val="6D2B4A16"/>
    <w:rsid w:val="6D41416A"/>
    <w:rsid w:val="6DB8E12B"/>
    <w:rsid w:val="6E205D5C"/>
    <w:rsid w:val="6E542AF5"/>
    <w:rsid w:val="6E670890"/>
    <w:rsid w:val="6ED8B4CB"/>
    <w:rsid w:val="6F45C475"/>
    <w:rsid w:val="6FED626C"/>
    <w:rsid w:val="705BEF85"/>
    <w:rsid w:val="705DB322"/>
    <w:rsid w:val="70CF948D"/>
    <w:rsid w:val="711123ED"/>
    <w:rsid w:val="71567232"/>
    <w:rsid w:val="71918647"/>
    <w:rsid w:val="71AE2AAE"/>
    <w:rsid w:val="71E01D95"/>
    <w:rsid w:val="72246F73"/>
    <w:rsid w:val="72ABB63D"/>
    <w:rsid w:val="72C65022"/>
    <w:rsid w:val="7334BFBA"/>
    <w:rsid w:val="738A8CD9"/>
    <w:rsid w:val="73A57B33"/>
    <w:rsid w:val="74567C4E"/>
    <w:rsid w:val="74795F3E"/>
    <w:rsid w:val="749E6895"/>
    <w:rsid w:val="753D82F4"/>
    <w:rsid w:val="767BD4C7"/>
    <w:rsid w:val="76BCDFBF"/>
    <w:rsid w:val="7746E150"/>
    <w:rsid w:val="774A51EF"/>
    <w:rsid w:val="77631E7C"/>
    <w:rsid w:val="77901F21"/>
    <w:rsid w:val="77D4501E"/>
    <w:rsid w:val="786626C6"/>
    <w:rsid w:val="7A34FE0A"/>
    <w:rsid w:val="7A3B8A49"/>
    <w:rsid w:val="7A714A4A"/>
    <w:rsid w:val="7A81275C"/>
    <w:rsid w:val="7A97397B"/>
    <w:rsid w:val="7AEBF94A"/>
    <w:rsid w:val="7B68C707"/>
    <w:rsid w:val="7B6B67CF"/>
    <w:rsid w:val="7B7B4A0A"/>
    <w:rsid w:val="7BC88F33"/>
    <w:rsid w:val="7CF2368E"/>
    <w:rsid w:val="7D0CA106"/>
    <w:rsid w:val="7D269618"/>
    <w:rsid w:val="7E232FF3"/>
    <w:rsid w:val="7E247BF2"/>
    <w:rsid w:val="7E4B988B"/>
    <w:rsid w:val="7EACC210"/>
    <w:rsid w:val="7F1C1DF3"/>
    <w:rsid w:val="7FACAB7A"/>
    <w:rsid w:val="7FB88FDC"/>
    <w:rsid w:val="7FD4D893"/>
    <w:rsid w:val="7FD57B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0C2BF"/>
  <w15:chartTrackingRefBased/>
  <w15:docId w15:val="{2BAB73BB-3D4A-4BE8-8CDC-BAC50A2C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A54"/>
    <w:pPr>
      <w:spacing w:after="160" w:line="259" w:lineRule="auto"/>
    </w:pPr>
    <w:rPr>
      <w:sz w:val="22"/>
      <w:szCs w:val="22"/>
    </w:rPr>
  </w:style>
  <w:style w:type="paragraph" w:styleId="Heading1">
    <w:name w:val="heading 1"/>
    <w:basedOn w:val="Normal"/>
    <w:next w:val="Normal"/>
    <w:link w:val="Heading1Char"/>
    <w:uiPriority w:val="9"/>
    <w:qFormat/>
    <w:rsid w:val="00C744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44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744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4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44F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744F1"/>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C744F1"/>
    <w:pPr>
      <w:ind w:left="720"/>
      <w:contextualSpacing/>
    </w:pPr>
  </w:style>
  <w:style w:type="character" w:styleId="CommentReference">
    <w:name w:val="annotation reference"/>
    <w:basedOn w:val="DefaultParagraphFont"/>
    <w:uiPriority w:val="99"/>
    <w:semiHidden/>
    <w:unhideWhenUsed/>
    <w:rsid w:val="00C744F1"/>
    <w:rPr>
      <w:sz w:val="16"/>
      <w:szCs w:val="16"/>
    </w:rPr>
  </w:style>
  <w:style w:type="paragraph" w:styleId="CommentText">
    <w:name w:val="annotation text"/>
    <w:basedOn w:val="Normal"/>
    <w:link w:val="CommentTextChar"/>
    <w:uiPriority w:val="99"/>
    <w:unhideWhenUsed/>
    <w:rsid w:val="00C744F1"/>
    <w:pPr>
      <w:spacing w:line="240" w:lineRule="auto"/>
    </w:pPr>
    <w:rPr>
      <w:sz w:val="20"/>
      <w:szCs w:val="20"/>
    </w:rPr>
  </w:style>
  <w:style w:type="character" w:customStyle="1" w:styleId="CommentTextChar">
    <w:name w:val="Comment Text Char"/>
    <w:basedOn w:val="DefaultParagraphFont"/>
    <w:link w:val="CommentText"/>
    <w:uiPriority w:val="99"/>
    <w:rsid w:val="00C744F1"/>
    <w:rPr>
      <w:sz w:val="20"/>
      <w:szCs w:val="20"/>
    </w:rPr>
  </w:style>
  <w:style w:type="character" w:styleId="Hyperlink">
    <w:name w:val="Hyperlink"/>
    <w:basedOn w:val="DefaultParagraphFont"/>
    <w:uiPriority w:val="99"/>
    <w:unhideWhenUsed/>
    <w:rsid w:val="00C744F1"/>
    <w:rPr>
      <w:color w:val="0563C1" w:themeColor="hyperlink"/>
      <w:u w:val="single"/>
    </w:rPr>
  </w:style>
  <w:style w:type="character" w:customStyle="1" w:styleId="cf01">
    <w:name w:val="cf01"/>
    <w:basedOn w:val="DefaultParagraphFont"/>
    <w:rsid w:val="00C744F1"/>
    <w:rPr>
      <w:rFonts w:ascii="Segoe UI" w:hAnsi="Segoe UI" w:cs="Segoe UI" w:hint="default"/>
      <w:sz w:val="18"/>
      <w:szCs w:val="18"/>
    </w:rPr>
  </w:style>
  <w:style w:type="paragraph" w:customStyle="1" w:styleId="pf0">
    <w:name w:val="pf0"/>
    <w:basedOn w:val="Normal"/>
    <w:rsid w:val="00C744F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xcf01">
    <w:name w:val="x_cf01"/>
    <w:basedOn w:val="DefaultParagraphFont"/>
    <w:rsid w:val="00C744F1"/>
  </w:style>
  <w:style w:type="character" w:customStyle="1" w:styleId="xcf11">
    <w:name w:val="x_cf11"/>
    <w:basedOn w:val="DefaultParagraphFont"/>
    <w:rsid w:val="00C744F1"/>
  </w:style>
  <w:style w:type="paragraph" w:styleId="Revision">
    <w:name w:val="Revision"/>
    <w:hidden/>
    <w:uiPriority w:val="99"/>
    <w:semiHidden/>
    <w:rsid w:val="00C744F1"/>
    <w:rPr>
      <w:sz w:val="22"/>
      <w:szCs w:val="22"/>
    </w:rPr>
  </w:style>
  <w:style w:type="paragraph" w:styleId="CommentSubject">
    <w:name w:val="annotation subject"/>
    <w:basedOn w:val="CommentText"/>
    <w:next w:val="CommentText"/>
    <w:link w:val="CommentSubjectChar"/>
    <w:uiPriority w:val="99"/>
    <w:semiHidden/>
    <w:unhideWhenUsed/>
    <w:rsid w:val="00F02C0E"/>
    <w:rPr>
      <w:b/>
      <w:bCs/>
    </w:rPr>
  </w:style>
  <w:style w:type="character" w:customStyle="1" w:styleId="CommentSubjectChar">
    <w:name w:val="Comment Subject Char"/>
    <w:basedOn w:val="CommentTextChar"/>
    <w:link w:val="CommentSubject"/>
    <w:uiPriority w:val="99"/>
    <w:semiHidden/>
    <w:rsid w:val="00F02C0E"/>
    <w:rPr>
      <w:b/>
      <w:bCs/>
      <w:sz w:val="20"/>
      <w:szCs w:val="20"/>
    </w:rPr>
  </w:style>
  <w:style w:type="paragraph" w:styleId="Footer">
    <w:name w:val="footer"/>
    <w:basedOn w:val="Normal"/>
    <w:link w:val="FooterChar"/>
    <w:uiPriority w:val="99"/>
    <w:unhideWhenUsed/>
    <w:rsid w:val="006207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7A3"/>
    <w:rPr>
      <w:sz w:val="22"/>
      <w:szCs w:val="22"/>
    </w:rPr>
  </w:style>
  <w:style w:type="character" w:styleId="PageNumber">
    <w:name w:val="page number"/>
    <w:basedOn w:val="DefaultParagraphFont"/>
    <w:uiPriority w:val="99"/>
    <w:semiHidden/>
    <w:unhideWhenUsed/>
    <w:rsid w:val="006207A3"/>
  </w:style>
  <w:style w:type="paragraph" w:styleId="Caption">
    <w:name w:val="caption"/>
    <w:basedOn w:val="Normal"/>
    <w:next w:val="Normal"/>
    <w:uiPriority w:val="35"/>
    <w:unhideWhenUsed/>
    <w:qFormat/>
    <w:rsid w:val="00F055EE"/>
    <w:pPr>
      <w:spacing w:after="200" w:line="240" w:lineRule="auto"/>
    </w:pPr>
    <w:rPr>
      <w:i/>
      <w:iCs/>
      <w:color w:val="44546A" w:themeColor="text2"/>
      <w:sz w:val="18"/>
      <w:szCs w:val="18"/>
    </w:rPr>
  </w:style>
  <w:style w:type="character" w:styleId="Mention">
    <w:name w:val="Mention"/>
    <w:basedOn w:val="DefaultParagraphFont"/>
    <w:uiPriority w:val="99"/>
    <w:unhideWhenUsed/>
    <w:rsid w:val="005F458D"/>
    <w:rPr>
      <w:color w:val="2B579A"/>
      <w:shd w:val="clear" w:color="auto" w:fill="E1DFDD"/>
    </w:rPr>
  </w:style>
  <w:style w:type="paragraph" w:styleId="Header">
    <w:name w:val="header"/>
    <w:basedOn w:val="Normal"/>
    <w:link w:val="HeaderChar"/>
    <w:uiPriority w:val="99"/>
    <w:semiHidden/>
    <w:unhideWhenUsed/>
    <w:rsid w:val="009C559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C559E"/>
    <w:rPr>
      <w:sz w:val="22"/>
      <w:szCs w:val="22"/>
    </w:rPr>
  </w:style>
  <w:style w:type="character" w:styleId="UnresolvedMention">
    <w:name w:val="Unresolved Mention"/>
    <w:basedOn w:val="DefaultParagraphFont"/>
    <w:uiPriority w:val="99"/>
    <w:semiHidden/>
    <w:unhideWhenUsed/>
    <w:rsid w:val="00AC22F7"/>
    <w:rPr>
      <w:color w:val="605E5C"/>
      <w:shd w:val="clear" w:color="auto" w:fill="E1DFDD"/>
    </w:rPr>
  </w:style>
  <w:style w:type="character" w:customStyle="1" w:styleId="cf11">
    <w:name w:val="cf11"/>
    <w:basedOn w:val="DefaultParagraphFont"/>
    <w:rsid w:val="00EA43EC"/>
    <w:rPr>
      <w:rFonts w:ascii="Segoe UI" w:hAnsi="Segoe UI" w:cs="Segoe UI" w:hint="default"/>
      <w:i/>
      <w:iCs/>
      <w:sz w:val="18"/>
      <w:szCs w:val="18"/>
    </w:rPr>
  </w:style>
  <w:style w:type="paragraph" w:styleId="NormalWeb">
    <w:name w:val="Normal (Web)"/>
    <w:basedOn w:val="Normal"/>
    <w:uiPriority w:val="99"/>
    <w:unhideWhenUsed/>
    <w:rsid w:val="000F5F0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customStyle="1" w:styleId="anchor-text">
    <w:name w:val="anchor-text"/>
    <w:basedOn w:val="DefaultParagraphFont"/>
    <w:rsid w:val="000F5F07"/>
  </w:style>
  <w:style w:type="character" w:styleId="FollowedHyperlink">
    <w:name w:val="FollowedHyperlink"/>
    <w:basedOn w:val="DefaultParagraphFont"/>
    <w:uiPriority w:val="99"/>
    <w:semiHidden/>
    <w:unhideWhenUsed/>
    <w:rsid w:val="002632A7"/>
    <w:rPr>
      <w:color w:val="954F72" w:themeColor="followedHyperlink"/>
      <w:u w:val="single"/>
    </w:rPr>
  </w:style>
  <w:style w:type="character" w:customStyle="1" w:styleId="cf21">
    <w:name w:val="cf21"/>
    <w:basedOn w:val="DefaultParagraphFont"/>
    <w:rsid w:val="000766A8"/>
    <w:rPr>
      <w:rFonts w:ascii="Segoe UI" w:hAnsi="Segoe UI" w:cs="Segoe UI" w:hint="default"/>
      <w:i/>
      <w:iCs/>
      <w:color w:val="22222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41439">
      <w:bodyDiv w:val="1"/>
      <w:marLeft w:val="0"/>
      <w:marRight w:val="0"/>
      <w:marTop w:val="0"/>
      <w:marBottom w:val="0"/>
      <w:divBdr>
        <w:top w:val="none" w:sz="0" w:space="0" w:color="auto"/>
        <w:left w:val="none" w:sz="0" w:space="0" w:color="auto"/>
        <w:bottom w:val="none" w:sz="0" w:space="0" w:color="auto"/>
        <w:right w:val="none" w:sz="0" w:space="0" w:color="auto"/>
      </w:divBdr>
    </w:div>
    <w:div w:id="839123159">
      <w:bodyDiv w:val="1"/>
      <w:marLeft w:val="0"/>
      <w:marRight w:val="0"/>
      <w:marTop w:val="0"/>
      <w:marBottom w:val="0"/>
      <w:divBdr>
        <w:top w:val="none" w:sz="0" w:space="0" w:color="auto"/>
        <w:left w:val="none" w:sz="0" w:space="0" w:color="auto"/>
        <w:bottom w:val="none" w:sz="0" w:space="0" w:color="auto"/>
        <w:right w:val="none" w:sz="0" w:space="0" w:color="auto"/>
      </w:divBdr>
    </w:div>
    <w:div w:id="1874269060">
      <w:bodyDiv w:val="1"/>
      <w:marLeft w:val="0"/>
      <w:marRight w:val="0"/>
      <w:marTop w:val="0"/>
      <w:marBottom w:val="0"/>
      <w:divBdr>
        <w:top w:val="none" w:sz="0" w:space="0" w:color="auto"/>
        <w:left w:val="none" w:sz="0" w:space="0" w:color="auto"/>
        <w:bottom w:val="none" w:sz="0" w:space="0" w:color="auto"/>
        <w:right w:val="none" w:sz="0" w:space="0" w:color="auto"/>
      </w:divBdr>
    </w:div>
    <w:div w:id="193346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encedirect.com/topics/economics-econometrics-and-finance/international-trade" TargetMode="External"/><Relationship Id="rId18" Type="http://schemas.openxmlformats.org/officeDocument/2006/relationships/hyperlink" Target="https://www.gov.uk/government/statistics/corporation-tax-statistics-2022" TargetMode="External"/><Relationship Id="rId26" Type="http://schemas.openxmlformats.org/officeDocument/2006/relationships/hyperlink" Target="https://www.smf.co.uk/publications/double-or-nothing/" TargetMode="External"/><Relationship Id="rId3" Type="http://schemas.openxmlformats.org/officeDocument/2006/relationships/customXml" Target="../customXml/item3.xml"/><Relationship Id="rId21" Type="http://schemas.openxmlformats.org/officeDocument/2006/relationships/hyperlink" Target="https://www.niesr.ac.uk/wp-content/uploads/2023/04/The-Fiscal-Costs-and-Benefits-of-Problem-Gambling-1.pdf" TargetMode="External"/><Relationship Id="rId7" Type="http://schemas.openxmlformats.org/officeDocument/2006/relationships/settings" Target="settings.xml"/><Relationship Id="rId12" Type="http://schemas.openxmlformats.org/officeDocument/2006/relationships/hyperlink" Target="https://surveyengine.com/" TargetMode="External"/><Relationship Id="rId17" Type="http://schemas.openxmlformats.org/officeDocument/2006/relationships/hyperlink" Target="https://hansard.parliament.uk/commons/2022-07-07/debates/21E800AC-BC76-4C48-AE73-537138364A81/BettingAndGamingIndustryAndRacingEconomicContribution" TargetMode="External"/><Relationship Id="rId25" Type="http://schemas.openxmlformats.org/officeDocument/2006/relationships/hyperlink" Target="https://www.gov.uk/government/publications/gambling-related-harms-evidence-review/gambling-related-harms-evidence-review-summary--2" TargetMode="External"/><Relationship Id="rId2" Type="http://schemas.openxmlformats.org/officeDocument/2006/relationships/customXml" Target="../customXml/item2.xml"/><Relationship Id="rId16" Type="http://schemas.openxmlformats.org/officeDocument/2006/relationships/hyperlink" Target="https://hansard.parliament.uk/commons/2022-07-07/debates/21E800AC-BC76-4C48-AE73-537138364A81/BettingAndGamingIndustryAndRacingEconomicContribution" TargetMode="External"/><Relationship Id="rId20" Type="http://schemas.openxmlformats.org/officeDocument/2006/relationships/hyperlink" Target="https://doi.org/10.1016/j.ssresearch.2016.04.01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dn.sanity.io/files/42ezp3kj/production/01361ed79749fb32bbd9e992b6bf849fd25a8b51.pdf" TargetMode="External"/><Relationship Id="rId5" Type="http://schemas.openxmlformats.org/officeDocument/2006/relationships/numbering" Target="numbering.xml"/><Relationship Id="rId15" Type="http://schemas.openxmlformats.org/officeDocument/2006/relationships/hyperlink" Target="https://doi.org/10.1080/17421772.2024.2333978" TargetMode="External"/><Relationship Id="rId23" Type="http://schemas.openxmlformats.org/officeDocument/2006/relationships/hyperlink" Target="https://obr.uk/forecasts-in-depth/tax-by-tax-spend-by-spend/betting-gaming-duti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ublications.parliament.uk/pa/ld5801/ldselect/ldgamb/79/7902.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tingandgamingcouncil.com/uploads/FINAL-BGC-Economic-Contribution-Report-22.pdf" TargetMode="External"/><Relationship Id="rId22" Type="http://schemas.openxmlformats.org/officeDocument/2006/relationships/hyperlink" Target="https://peers-for-gambling-reform.yolasite.com/" TargetMode="External"/><Relationship Id="rId27" Type="http://schemas.openxmlformats.org/officeDocument/2006/relationships/hyperlink" Target="https://doi.org/10.1186/s13561-020-00276-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34a0d1-5d6a-4aa6-8a74-11404d0e53aa">
      <Terms xmlns="http://schemas.microsoft.com/office/infopath/2007/PartnerControls"/>
    </lcf76f155ced4ddcb4097134ff3c332f>
    <TaxCatchAll xmlns="69a2bdd9-45e6-4095-84d4-a51518b99e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C24FEB015A32499B9BA7F909405890" ma:contentTypeVersion="11" ma:contentTypeDescription="Create a new document." ma:contentTypeScope="" ma:versionID="a58737787e9bbb657f1497cb5c7f8f76">
  <xsd:schema xmlns:xsd="http://www.w3.org/2001/XMLSchema" xmlns:xs="http://www.w3.org/2001/XMLSchema" xmlns:p="http://schemas.microsoft.com/office/2006/metadata/properties" xmlns:ns2="2734a0d1-5d6a-4aa6-8a74-11404d0e53aa" xmlns:ns3="69a2bdd9-45e6-4095-84d4-a51518b99e55" targetNamespace="http://schemas.microsoft.com/office/2006/metadata/properties" ma:root="true" ma:fieldsID="9b4dbb7bfd8e7a9c5317e7109fe33e51" ns2:_="" ns3:_="">
    <xsd:import namespace="2734a0d1-5d6a-4aa6-8a74-11404d0e53aa"/>
    <xsd:import namespace="69a2bdd9-45e6-4095-84d4-a51518b99e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4a0d1-5d6a-4aa6-8a74-11404d0e5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2bdd9-45e6-4095-84d4-a51518b99e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76355f-6adb-4747-9a7a-eeeb088c646d}" ma:internalName="TaxCatchAll" ma:showField="CatchAllData" ma:web="69a2bdd9-45e6-4095-84d4-a51518b99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1F09C-73A9-4A10-814D-FD1824D7383F}">
  <ds:schemaRefs>
    <ds:schemaRef ds:uri="http://schemas.microsoft.com/sharepoint/v3/contenttype/forms"/>
  </ds:schemaRefs>
</ds:datastoreItem>
</file>

<file path=customXml/itemProps2.xml><?xml version="1.0" encoding="utf-8"?>
<ds:datastoreItem xmlns:ds="http://schemas.openxmlformats.org/officeDocument/2006/customXml" ds:itemID="{F7ECA564-1A2C-574E-8863-C5A2A6068BC5}">
  <ds:schemaRefs>
    <ds:schemaRef ds:uri="http://schemas.openxmlformats.org/officeDocument/2006/bibliography"/>
  </ds:schemaRefs>
</ds:datastoreItem>
</file>

<file path=customXml/itemProps3.xml><?xml version="1.0" encoding="utf-8"?>
<ds:datastoreItem xmlns:ds="http://schemas.openxmlformats.org/officeDocument/2006/customXml" ds:itemID="{42BAFB6A-F1B8-490D-94ED-74645797F554}">
  <ds:schemaRefs>
    <ds:schemaRef ds:uri="http://schemas.microsoft.com/office/2006/metadata/properties"/>
    <ds:schemaRef ds:uri="http://schemas.microsoft.com/office/infopath/2007/PartnerControls"/>
    <ds:schemaRef ds:uri="2734a0d1-5d6a-4aa6-8a74-11404d0e53aa"/>
    <ds:schemaRef ds:uri="69a2bdd9-45e6-4095-84d4-a51518b99e55"/>
  </ds:schemaRefs>
</ds:datastoreItem>
</file>

<file path=customXml/itemProps4.xml><?xml version="1.0" encoding="utf-8"?>
<ds:datastoreItem xmlns:ds="http://schemas.openxmlformats.org/officeDocument/2006/customXml" ds:itemID="{16BEAAA4-D1CF-4597-A89B-97F093D96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4a0d1-5d6a-4aa6-8a74-11404d0e53aa"/>
    <ds:schemaRef ds:uri="69a2bdd9-45e6-4095-84d4-a51518b99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13</Pages>
  <Words>6629</Words>
  <Characters>37786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Kesaite</dc:creator>
  <cp:keywords/>
  <dc:description/>
  <cp:lastModifiedBy>Heather Wardle</cp:lastModifiedBy>
  <cp:revision>3</cp:revision>
  <dcterms:created xsi:type="dcterms:W3CDTF">2025-06-12T16:29:00Z</dcterms:created>
  <dcterms:modified xsi:type="dcterms:W3CDTF">2025-06-13T09:05:00Z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0x01010068C24FEB015A32499B9BA7F909405890</vt:lpwstr>
  </property>
  <property fmtid="{D5CDD505-2E9C-101B-9397-08002B2CF9AE}" pid="3" name="MediaServiceImageTags">
    <vt:lpwstr/>
  </property>
</Properties>
</file>